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C3AC02" w14:textId="77777777" w:rsidR="00740F85" w:rsidRDefault="00CE17D9" w:rsidP="00CE17D9">
      <w:pPr>
        <w:ind w:right="-27"/>
        <w:jc w:val="center"/>
        <w:rPr>
          <w:rFonts w:ascii="Verdana" w:hAnsi="Verdana" w:cs="Verdana"/>
          <w:b/>
          <w:smallCaps/>
          <w:sz w:val="19"/>
          <w:szCs w:val="19"/>
        </w:rPr>
      </w:pPr>
      <w:r w:rsidRPr="00CD2CC2">
        <w:rPr>
          <w:noProof/>
          <w:lang w:eastAsia="it-IT"/>
        </w:rPr>
        <w:drawing>
          <wp:inline distT="0" distB="0" distL="0" distR="0" wp14:anchorId="6518AE98" wp14:editId="7EEEFA0C">
            <wp:extent cx="1557139" cy="134112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704" cy="1345913"/>
                    </a:xfrm>
                    <a:prstGeom prst="rect">
                      <a:avLst/>
                    </a:prstGeom>
                    <a:noFill/>
                    <a:ln>
                      <a:noFill/>
                    </a:ln>
                  </pic:spPr>
                </pic:pic>
              </a:graphicData>
            </a:graphic>
          </wp:inline>
        </w:drawing>
      </w:r>
    </w:p>
    <w:p w14:paraId="05AAB4C7" w14:textId="77777777" w:rsidR="000F2AEB" w:rsidRDefault="000F2AEB" w:rsidP="000F2AEB"/>
    <w:p w14:paraId="00E5E6ED" w14:textId="77777777" w:rsidR="000F2AEB" w:rsidRDefault="000F2AEB" w:rsidP="000F2AEB">
      <w:pPr>
        <w:jc w:val="center"/>
        <w:rPr>
          <w:rFonts w:ascii="Calibri" w:hAnsi="Calibri" w:cs="Calibri"/>
        </w:rPr>
      </w:pPr>
    </w:p>
    <w:p w14:paraId="6ED658E5" w14:textId="77777777" w:rsidR="0003434A" w:rsidRDefault="00491F45" w:rsidP="0003434A">
      <w:pPr>
        <w:pStyle w:val="Nessunaspaziatura"/>
        <w:jc w:val="center"/>
        <w:rPr>
          <w:rFonts w:ascii="Cambria" w:hAnsi="Cambria"/>
          <w:b/>
          <w:bCs/>
          <w:color w:val="548DD4"/>
          <w:sz w:val="52"/>
          <w:szCs w:val="52"/>
        </w:rPr>
      </w:pPr>
      <w:r>
        <w:rPr>
          <w:rFonts w:ascii="Cambria" w:hAnsi="Cambria"/>
          <w:b/>
          <w:bCs/>
          <w:color w:val="548DD4"/>
          <w:sz w:val="52"/>
          <w:szCs w:val="52"/>
        </w:rPr>
        <w:t>202</w:t>
      </w:r>
      <w:r w:rsidR="0003434A">
        <w:rPr>
          <w:rFonts w:ascii="Cambria" w:hAnsi="Cambria"/>
          <w:b/>
          <w:bCs/>
          <w:color w:val="548DD4"/>
          <w:sz w:val="52"/>
          <w:szCs w:val="52"/>
        </w:rPr>
        <w:t>5</w:t>
      </w:r>
    </w:p>
    <w:p w14:paraId="52D29C31" w14:textId="23362280" w:rsidR="00A03FDF" w:rsidRPr="0003434A" w:rsidRDefault="00AA1FB3" w:rsidP="0003434A">
      <w:pPr>
        <w:pStyle w:val="Nessunaspaziatura"/>
        <w:jc w:val="center"/>
        <w:rPr>
          <w:rFonts w:ascii="Cambria" w:hAnsi="Cambria"/>
          <w:b/>
          <w:bCs/>
          <w:color w:val="548DD4"/>
          <w:sz w:val="52"/>
          <w:szCs w:val="52"/>
        </w:rPr>
      </w:pPr>
      <w:r>
        <w:rPr>
          <w:rFonts w:ascii="Cambria" w:hAnsi="Cambria"/>
          <w:b/>
          <w:bCs/>
          <w:color w:val="548DD4"/>
          <w:sz w:val="52"/>
          <w:szCs w:val="52"/>
        </w:rPr>
        <w:t xml:space="preserve">Progetto </w:t>
      </w:r>
      <w:r w:rsidR="004B64FD" w:rsidRPr="004B64FD">
        <w:rPr>
          <w:rFonts w:ascii="Cambria" w:hAnsi="Cambria"/>
          <w:b/>
          <w:bCs/>
          <w:color w:val="548DD4"/>
          <w:sz w:val="52"/>
          <w:szCs w:val="52"/>
        </w:rPr>
        <w:t>dei CDE italiani</w:t>
      </w:r>
    </w:p>
    <w:p w14:paraId="2AFCD2F0" w14:textId="235AA460" w:rsidR="0003434A" w:rsidRDefault="0003434A">
      <w:pPr>
        <w:jc w:val="center"/>
        <w:rPr>
          <w:rFonts w:ascii="Open Sans" w:hAnsi="Open Sans"/>
          <w:b/>
          <w:smallCaps/>
          <w:color w:val="00B0F0"/>
          <w:sz w:val="56"/>
          <w:szCs w:val="56"/>
        </w:rPr>
      </w:pPr>
      <w:r w:rsidRPr="0003434A">
        <w:rPr>
          <w:rFonts w:ascii="Open Sans" w:hAnsi="Open Sans"/>
          <w:b/>
          <w:smallCaps/>
          <w:color w:val="00B0F0"/>
          <w:sz w:val="56"/>
          <w:szCs w:val="56"/>
        </w:rPr>
        <w:t>#U</w:t>
      </w:r>
      <w:r>
        <w:rPr>
          <w:rFonts w:ascii="Open Sans" w:hAnsi="Open Sans"/>
          <w:b/>
          <w:smallCaps/>
          <w:color w:val="00B0F0"/>
          <w:sz w:val="56"/>
          <w:szCs w:val="56"/>
        </w:rPr>
        <w:t>nited</w:t>
      </w:r>
      <w:r w:rsidRPr="0003434A">
        <w:rPr>
          <w:rFonts w:ascii="Open Sans" w:hAnsi="Open Sans"/>
          <w:b/>
          <w:smallCaps/>
          <w:color w:val="00B0F0"/>
          <w:sz w:val="56"/>
          <w:szCs w:val="56"/>
        </w:rPr>
        <w:t>ForOurFuture</w:t>
      </w:r>
      <w:r>
        <w:rPr>
          <w:rFonts w:ascii="Open Sans" w:hAnsi="Open Sans"/>
          <w:b/>
          <w:smallCaps/>
          <w:color w:val="00B0F0"/>
          <w:sz w:val="56"/>
          <w:szCs w:val="56"/>
        </w:rPr>
        <w:t xml:space="preserve">: </w:t>
      </w:r>
    </w:p>
    <w:p w14:paraId="5BB0D293" w14:textId="13F4A223" w:rsidR="00A03FDF" w:rsidRPr="0003434A" w:rsidRDefault="0003434A">
      <w:pPr>
        <w:jc w:val="center"/>
        <w:rPr>
          <w:rFonts w:ascii="Georgia" w:hAnsi="Georgia" w:cs="Georgia"/>
          <w:b/>
          <w:color w:val="00B0F0"/>
          <w:sz w:val="44"/>
          <w:szCs w:val="44"/>
        </w:rPr>
      </w:pPr>
      <w:r w:rsidRPr="0003434A">
        <w:rPr>
          <w:rFonts w:ascii="Open Sans" w:hAnsi="Open Sans"/>
          <w:b/>
          <w:bCs/>
          <w:smallCaps/>
          <w:color w:val="00B0F0"/>
          <w:sz w:val="44"/>
          <w:szCs w:val="44"/>
        </w:rPr>
        <w:t>Le priorità dell’Unione 2024-2029</w:t>
      </w:r>
    </w:p>
    <w:p w14:paraId="693A286A" w14:textId="2F99505A" w:rsidR="0009309A" w:rsidRDefault="0003434A" w:rsidP="0003434A">
      <w:pPr>
        <w:jc w:val="center"/>
        <w:rPr>
          <w:rFonts w:ascii="Georgia" w:hAnsi="Georgia" w:cs="Georgia"/>
          <w:b/>
          <w:sz w:val="36"/>
        </w:rPr>
      </w:pPr>
      <w:r>
        <w:fldChar w:fldCharType="begin"/>
      </w:r>
      <w:r>
        <w:instrText xml:space="preserve"> INCLUDEPICTURE "https://cdeita.it/wp-content/uploads/2025/03/progetto_rete_2025-1024x634.png" \* MERGEFORMATINET </w:instrText>
      </w:r>
      <w:r>
        <w:fldChar w:fldCharType="separate"/>
      </w:r>
      <w:r>
        <w:rPr>
          <w:noProof/>
        </w:rPr>
        <w:drawing>
          <wp:inline distT="0" distB="0" distL="0" distR="0" wp14:anchorId="3926EADB" wp14:editId="1E6C15D3">
            <wp:extent cx="6120130" cy="3786505"/>
            <wp:effectExtent l="0" t="0" r="0" b="0"/>
            <wp:docPr id="323797872" name="Immagine 2" descr="Immagine che contiene cielo, Edificio commerciale, aria aperta, Area metropolita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97872" name="Immagine 2" descr="Immagine che contiene cielo, Edificio commerciale, aria aperta, Area metropolitan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786505"/>
                    </a:xfrm>
                    <a:prstGeom prst="rect">
                      <a:avLst/>
                    </a:prstGeom>
                    <a:noFill/>
                    <a:ln>
                      <a:noFill/>
                    </a:ln>
                  </pic:spPr>
                </pic:pic>
              </a:graphicData>
            </a:graphic>
          </wp:inline>
        </w:drawing>
      </w:r>
      <w:r>
        <w:fldChar w:fldCharType="end"/>
      </w:r>
      <w:r w:rsidR="0009309A">
        <w:fldChar w:fldCharType="begin"/>
      </w:r>
      <w:r w:rsidR="0009309A">
        <w:instrText xml:space="preserve"> INCLUDEPICTURE "https://business.ideaspowered.eu/sites/default/files/styles/news_page_images/public/2023-02/30_years.png?itok=8gaQ9yvc" \* MERGEFORMATINET </w:instrText>
      </w:r>
      <w:r w:rsidR="0009309A">
        <w:fldChar w:fldCharType="separate"/>
      </w:r>
      <w:r w:rsidR="0009309A">
        <w:fldChar w:fldCharType="end"/>
      </w:r>
    </w:p>
    <w:p w14:paraId="6BC783CF" w14:textId="77777777" w:rsidR="00C42A65" w:rsidRDefault="00C42A65">
      <w:pPr>
        <w:jc w:val="center"/>
        <w:rPr>
          <w:rFonts w:ascii="Georgia" w:hAnsi="Georgia" w:cs="Georgia"/>
          <w:b/>
          <w:sz w:val="36"/>
        </w:rPr>
      </w:pPr>
    </w:p>
    <w:p w14:paraId="60188E50" w14:textId="7F4E858A" w:rsidR="0083114E" w:rsidRPr="00AA1FB3" w:rsidRDefault="00AA1FB3" w:rsidP="00AA1FB3">
      <w:pPr>
        <w:jc w:val="center"/>
        <w:rPr>
          <w:rFonts w:ascii="Georgia" w:hAnsi="Georgia" w:cs="Georgia"/>
          <w:sz w:val="36"/>
        </w:rPr>
      </w:pPr>
      <w:r w:rsidRPr="00AA1FB3">
        <w:rPr>
          <w:rFonts w:ascii="Georgia" w:hAnsi="Georgia" w:cs="Georgia"/>
          <w:sz w:val="36"/>
        </w:rPr>
        <w:t>CDE</w:t>
      </w:r>
      <w:r w:rsidR="0083114E" w:rsidRPr="00AA1FB3">
        <w:rPr>
          <w:rFonts w:ascii="Georgia" w:hAnsi="Georgia" w:cs="Georgia"/>
          <w:sz w:val="36"/>
        </w:rPr>
        <w:t xml:space="preserve"> </w:t>
      </w:r>
      <w:r w:rsidR="007C108F">
        <w:rPr>
          <w:rFonts w:ascii="Georgia" w:hAnsi="Georgia" w:cs="Georgia"/>
          <w:sz w:val="36"/>
        </w:rPr>
        <w:t>Università degli studi di Perugia – CDE TUCEP</w:t>
      </w:r>
    </w:p>
    <w:p w14:paraId="2918857B" w14:textId="77777777" w:rsidR="00F57381" w:rsidRPr="00AA1FB3" w:rsidRDefault="00F57381" w:rsidP="00D30402">
      <w:pPr>
        <w:rPr>
          <w:rFonts w:ascii="Georgia" w:hAnsi="Georgia" w:cs="Georgia"/>
          <w:sz w:val="36"/>
        </w:rPr>
      </w:pPr>
    </w:p>
    <w:p w14:paraId="08E7969F" w14:textId="77777777" w:rsidR="00D30402" w:rsidRDefault="00D30402" w:rsidP="00AA1FB3">
      <w:pPr>
        <w:jc w:val="center"/>
        <w:rPr>
          <w:rFonts w:ascii="Georgia" w:hAnsi="Georgia" w:cs="Georgia"/>
          <w:sz w:val="36"/>
        </w:rPr>
      </w:pPr>
    </w:p>
    <w:p w14:paraId="119920FF" w14:textId="77777777" w:rsidR="007C108F" w:rsidRDefault="00D30402" w:rsidP="00A172DD">
      <w:pPr>
        <w:jc w:val="center"/>
        <w:rPr>
          <w:rFonts w:ascii="Georgia" w:hAnsi="Georgia" w:cs="Georgia"/>
          <w:b/>
          <w:bCs/>
          <w:sz w:val="36"/>
        </w:rPr>
      </w:pP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Pr>
          <w:rFonts w:ascii="Georgia" w:hAnsi="Georgia" w:cs="Georgia"/>
          <w:sz w:val="36"/>
        </w:rPr>
        <w:softHyphen/>
      </w:r>
      <w:r w:rsidR="007C108F" w:rsidRPr="007C108F">
        <w:rPr>
          <w:rFonts w:ascii="Georgia" w:hAnsi="Georgia" w:cs="Georgia"/>
          <w:b/>
          <w:bCs/>
          <w:sz w:val="36"/>
        </w:rPr>
        <w:t>I cittadini e le priorità della Commissione europea</w:t>
      </w:r>
    </w:p>
    <w:p w14:paraId="519B0EE9" w14:textId="68DEAD89" w:rsidR="007C108F" w:rsidRPr="007C108F" w:rsidRDefault="007C108F" w:rsidP="00A172DD">
      <w:pPr>
        <w:jc w:val="center"/>
        <w:rPr>
          <w:rFonts w:ascii="Georgia" w:hAnsi="Georgia" w:cs="Georgia"/>
          <w:b/>
          <w:bCs/>
          <w:sz w:val="28"/>
          <w:szCs w:val="28"/>
        </w:rPr>
      </w:pPr>
      <w:r>
        <w:rPr>
          <w:rFonts w:ascii="Georgia" w:hAnsi="Georgia" w:cs="Georgia"/>
          <w:b/>
          <w:bCs/>
          <w:sz w:val="28"/>
          <w:szCs w:val="28"/>
        </w:rPr>
        <w:br/>
      </w:r>
      <w:r w:rsidRPr="007C108F">
        <w:rPr>
          <w:rFonts w:ascii="Georgia" w:hAnsi="Georgia" w:cs="Georgia"/>
          <w:b/>
          <w:bCs/>
          <w:sz w:val="28"/>
          <w:szCs w:val="28"/>
        </w:rPr>
        <w:t>10 dicembre 2025</w:t>
      </w:r>
    </w:p>
    <w:p w14:paraId="4AD298F0" w14:textId="77777777" w:rsidR="007C108F" w:rsidRDefault="007C108F" w:rsidP="00A172DD">
      <w:pPr>
        <w:jc w:val="center"/>
        <w:rPr>
          <w:rFonts w:ascii="Georgia" w:hAnsi="Georgia" w:cs="Georgia"/>
          <w:b/>
          <w:bCs/>
          <w:sz w:val="36"/>
        </w:rPr>
      </w:pPr>
    </w:p>
    <w:p w14:paraId="5C474461" w14:textId="77777777" w:rsidR="007C108F" w:rsidRDefault="007C108F" w:rsidP="00A172DD">
      <w:pPr>
        <w:jc w:val="center"/>
        <w:rPr>
          <w:rFonts w:ascii="Georgia" w:hAnsi="Georgia" w:cs="Georgia"/>
          <w:b/>
          <w:bCs/>
          <w:sz w:val="36"/>
        </w:rPr>
      </w:pPr>
    </w:p>
    <w:p w14:paraId="6D80A804" w14:textId="2C38942C" w:rsidR="00CE17D9" w:rsidRPr="00A172DD" w:rsidRDefault="00CE17D9" w:rsidP="00A172DD">
      <w:pPr>
        <w:jc w:val="center"/>
        <w:rPr>
          <w:b/>
          <w:color w:val="006699"/>
          <w:sz w:val="40"/>
          <w:szCs w:val="40"/>
        </w:rPr>
      </w:pPr>
      <w:r w:rsidRPr="00CE17D9">
        <w:rPr>
          <w:b/>
          <w:color w:val="006699"/>
          <w:sz w:val="40"/>
          <w:szCs w:val="40"/>
        </w:rPr>
        <w:t xml:space="preserve">Scheda </w:t>
      </w:r>
      <w:r w:rsidRPr="00CE17D9">
        <w:rPr>
          <w:rFonts w:asciiTheme="minorHAnsi" w:hAnsiTheme="minorHAnsi" w:cstheme="minorHAnsi"/>
          <w:b/>
          <w:color w:val="006699"/>
          <w:sz w:val="40"/>
          <w:szCs w:val="40"/>
        </w:rPr>
        <w:t>riepilogativa</w:t>
      </w:r>
      <w:r w:rsidRPr="00CE17D9">
        <w:rPr>
          <w:b/>
          <w:color w:val="006699"/>
          <w:sz w:val="40"/>
          <w:szCs w:val="40"/>
        </w:rPr>
        <w:t xml:space="preserve"> di sintesi</w:t>
      </w:r>
    </w:p>
    <w:tbl>
      <w:tblPr>
        <w:tblW w:w="0" w:type="auto"/>
        <w:shd w:val="clear" w:color="auto" w:fill="009999"/>
        <w:tblLook w:val="04A0" w:firstRow="1" w:lastRow="0" w:firstColumn="1" w:lastColumn="0" w:noHBand="0" w:noVBand="1"/>
      </w:tblPr>
      <w:tblGrid>
        <w:gridCol w:w="9402"/>
        <w:gridCol w:w="236"/>
      </w:tblGrid>
      <w:tr w:rsidR="00CE17D9" w:rsidRPr="00D10C1D" w14:paraId="21F245E6" w14:textId="77777777" w:rsidTr="00CE17D9">
        <w:tc>
          <w:tcPr>
            <w:tcW w:w="9556" w:type="dxa"/>
            <w:shd w:val="clear" w:color="auto" w:fill="009999"/>
          </w:tcPr>
          <w:p w14:paraId="7BBA8362" w14:textId="77777777" w:rsidR="00CE17D9" w:rsidRPr="00D10C1D" w:rsidRDefault="00CE17D9" w:rsidP="00F21846">
            <w:pPr>
              <w:rPr>
                <w:bCs/>
                <w:color w:val="FFFFFF"/>
              </w:rPr>
            </w:pPr>
          </w:p>
        </w:tc>
        <w:tc>
          <w:tcPr>
            <w:tcW w:w="236" w:type="dxa"/>
            <w:shd w:val="clear" w:color="auto" w:fill="009999"/>
          </w:tcPr>
          <w:p w14:paraId="3D4F3007" w14:textId="77777777" w:rsidR="00CE17D9" w:rsidRPr="00D10C1D" w:rsidRDefault="00CE17D9" w:rsidP="00F21846">
            <w:pPr>
              <w:rPr>
                <w:bCs/>
                <w:color w:val="FFFFFF"/>
              </w:rPr>
            </w:pPr>
          </w:p>
        </w:tc>
      </w:tr>
    </w:tbl>
    <w:p w14:paraId="66705BB9" w14:textId="77777777" w:rsidR="00CE17D9" w:rsidRDefault="00CE17D9" w:rsidP="009E1296"/>
    <w:p w14:paraId="7F7BB9DF" w14:textId="77777777" w:rsidR="00BD3BDC" w:rsidRPr="00BD3BDC" w:rsidRDefault="00BD3BDC" w:rsidP="00BD3BDC">
      <w:pPr>
        <w:pStyle w:val="Titolo2"/>
        <w:shd w:val="clear" w:color="auto" w:fill="FFFFFF"/>
        <w:spacing w:line="269" w:lineRule="atLeast"/>
        <w:rPr>
          <w:rFonts w:ascii="Arial" w:hAnsi="Arial" w:cs="Arial"/>
          <w:i w:val="0"/>
          <w:color w:val="339900"/>
          <w:spacing w:val="-15"/>
          <w:szCs w:val="24"/>
        </w:rPr>
      </w:pPr>
    </w:p>
    <w:p w14:paraId="48968EE8" w14:textId="7D1579A5" w:rsidR="00AA1FB3" w:rsidRPr="0009309A" w:rsidRDefault="002D7CC3" w:rsidP="00CE17D9">
      <w:pPr>
        <w:rPr>
          <w:rFonts w:asciiTheme="minorHAnsi" w:hAnsiTheme="minorHAnsi" w:cstheme="minorHAnsi"/>
          <w:b/>
          <w:bCs/>
          <w:sz w:val="32"/>
          <w:szCs w:val="32"/>
        </w:rPr>
      </w:pPr>
      <w:r w:rsidRPr="00CE17D9">
        <w:rPr>
          <w:rFonts w:asciiTheme="minorHAnsi" w:hAnsiTheme="minorHAnsi" w:cstheme="minorHAnsi"/>
          <w:b/>
          <w:sz w:val="32"/>
          <w:szCs w:val="32"/>
        </w:rPr>
        <w:t>Titolo del progetto di rete</w:t>
      </w:r>
      <w:r w:rsidR="0003434A">
        <w:rPr>
          <w:rFonts w:asciiTheme="minorHAnsi" w:hAnsiTheme="minorHAnsi" w:cstheme="minorHAnsi"/>
          <w:b/>
          <w:sz w:val="32"/>
          <w:szCs w:val="32"/>
        </w:rPr>
        <w:t>:</w:t>
      </w:r>
      <w:r w:rsidR="00AA1FB3" w:rsidRPr="00CE17D9">
        <w:rPr>
          <w:rFonts w:asciiTheme="minorHAnsi" w:hAnsiTheme="minorHAnsi" w:cstheme="minorHAnsi"/>
          <w:b/>
          <w:sz w:val="32"/>
          <w:szCs w:val="32"/>
        </w:rPr>
        <w:t xml:space="preserve"> </w:t>
      </w:r>
      <w:r w:rsidR="0003434A">
        <w:rPr>
          <w:rFonts w:asciiTheme="minorHAnsi" w:hAnsiTheme="minorHAnsi" w:cstheme="minorHAnsi"/>
          <w:b/>
          <w:sz w:val="32"/>
          <w:szCs w:val="32"/>
        </w:rPr>
        <w:t xml:space="preserve">#UnitedForOurFuture. </w:t>
      </w:r>
      <w:r w:rsidR="0003434A" w:rsidRPr="0003434A">
        <w:rPr>
          <w:rFonts w:asciiTheme="minorHAnsi" w:hAnsiTheme="minorHAnsi" w:cstheme="minorHAnsi"/>
          <w:b/>
          <w:bCs/>
          <w:sz w:val="32"/>
          <w:szCs w:val="32"/>
        </w:rPr>
        <w:t>Le priorità dell’Unione 2024-2029</w:t>
      </w:r>
    </w:p>
    <w:p w14:paraId="52F52D87" w14:textId="77777777" w:rsidR="00AA1FB3" w:rsidRPr="0009309A" w:rsidRDefault="00AA1FB3" w:rsidP="00AA1FB3">
      <w:pPr>
        <w:rPr>
          <w:rFonts w:asciiTheme="minorHAnsi" w:hAnsiTheme="minorHAnsi" w:cstheme="minorHAnsi"/>
          <w:b/>
          <w:bCs/>
          <w:sz w:val="32"/>
          <w:szCs w:val="32"/>
        </w:rPr>
      </w:pPr>
    </w:p>
    <w:p w14:paraId="22E06651" w14:textId="77777777" w:rsidR="00AA1FB3" w:rsidRPr="00CE17D9" w:rsidRDefault="00AA1FB3" w:rsidP="00AA1FB3">
      <w:pPr>
        <w:rPr>
          <w:rFonts w:asciiTheme="minorHAnsi" w:hAnsiTheme="minorHAnsi" w:cstheme="minorHAnsi"/>
          <w:sz w:val="32"/>
          <w:szCs w:val="32"/>
        </w:rPr>
      </w:pPr>
    </w:p>
    <w:p w14:paraId="15C1F5D7" w14:textId="5CFDF102" w:rsidR="00740F85" w:rsidRPr="00CE17D9" w:rsidRDefault="00740F85" w:rsidP="00AA1FB3">
      <w:pPr>
        <w:numPr>
          <w:ilvl w:val="0"/>
          <w:numId w:val="3"/>
        </w:numPr>
        <w:rPr>
          <w:rFonts w:asciiTheme="minorHAnsi" w:hAnsiTheme="minorHAnsi" w:cstheme="minorHAnsi"/>
          <w:b/>
          <w:sz w:val="32"/>
          <w:szCs w:val="32"/>
        </w:rPr>
      </w:pPr>
      <w:r w:rsidRPr="00CE17D9">
        <w:rPr>
          <w:rFonts w:asciiTheme="minorHAnsi" w:hAnsiTheme="minorHAnsi" w:cstheme="minorHAnsi"/>
          <w:b/>
          <w:sz w:val="32"/>
          <w:szCs w:val="32"/>
        </w:rPr>
        <w:t xml:space="preserve">Durata: </w:t>
      </w:r>
      <w:proofErr w:type="gramStart"/>
      <w:r w:rsidR="0003434A">
        <w:rPr>
          <w:rFonts w:asciiTheme="minorHAnsi" w:hAnsiTheme="minorHAnsi" w:cstheme="minorHAnsi"/>
          <w:sz w:val="32"/>
          <w:szCs w:val="32"/>
        </w:rPr>
        <w:t>Aprile</w:t>
      </w:r>
      <w:proofErr w:type="gramEnd"/>
      <w:r w:rsidR="00E6629B">
        <w:rPr>
          <w:rFonts w:asciiTheme="minorHAnsi" w:hAnsiTheme="minorHAnsi" w:cstheme="minorHAnsi"/>
          <w:sz w:val="32"/>
          <w:szCs w:val="32"/>
        </w:rPr>
        <w:t xml:space="preserve"> 202</w:t>
      </w:r>
      <w:r w:rsidR="0003434A">
        <w:rPr>
          <w:rFonts w:asciiTheme="minorHAnsi" w:hAnsiTheme="minorHAnsi" w:cstheme="minorHAnsi"/>
          <w:sz w:val="32"/>
          <w:szCs w:val="32"/>
        </w:rPr>
        <w:t>5</w:t>
      </w:r>
      <w:r w:rsidR="00CE17D9" w:rsidRPr="00CE17D9">
        <w:rPr>
          <w:rFonts w:asciiTheme="minorHAnsi" w:hAnsiTheme="minorHAnsi" w:cstheme="minorHAnsi"/>
          <w:sz w:val="32"/>
          <w:szCs w:val="32"/>
        </w:rPr>
        <w:t>-</w:t>
      </w:r>
      <w:proofErr w:type="gramStart"/>
      <w:r w:rsidR="0003434A">
        <w:rPr>
          <w:rFonts w:asciiTheme="minorHAnsi" w:hAnsiTheme="minorHAnsi" w:cstheme="minorHAnsi"/>
          <w:sz w:val="32"/>
          <w:szCs w:val="32"/>
        </w:rPr>
        <w:t>Novembre</w:t>
      </w:r>
      <w:proofErr w:type="gramEnd"/>
      <w:r w:rsidR="00C42A65">
        <w:rPr>
          <w:rFonts w:asciiTheme="minorHAnsi" w:hAnsiTheme="minorHAnsi" w:cstheme="minorHAnsi"/>
          <w:sz w:val="32"/>
          <w:szCs w:val="32"/>
        </w:rPr>
        <w:t xml:space="preserve"> 202</w:t>
      </w:r>
      <w:r w:rsidR="0003434A">
        <w:rPr>
          <w:rFonts w:asciiTheme="minorHAnsi" w:hAnsiTheme="minorHAnsi" w:cstheme="minorHAnsi"/>
          <w:sz w:val="32"/>
          <w:szCs w:val="32"/>
        </w:rPr>
        <w:t>5</w:t>
      </w:r>
    </w:p>
    <w:p w14:paraId="4D00E65D" w14:textId="77777777" w:rsidR="00740F85" w:rsidRPr="00CE17D9" w:rsidRDefault="00740F85">
      <w:pPr>
        <w:numPr>
          <w:ilvl w:val="0"/>
          <w:numId w:val="4"/>
        </w:numPr>
        <w:rPr>
          <w:rFonts w:asciiTheme="minorHAnsi" w:hAnsiTheme="minorHAnsi" w:cstheme="minorHAnsi"/>
          <w:sz w:val="32"/>
          <w:szCs w:val="32"/>
        </w:rPr>
      </w:pPr>
      <w:r w:rsidRPr="00CE17D9">
        <w:rPr>
          <w:rFonts w:asciiTheme="minorHAnsi" w:hAnsiTheme="minorHAnsi" w:cstheme="minorHAnsi"/>
          <w:b/>
          <w:sz w:val="32"/>
          <w:szCs w:val="32"/>
        </w:rPr>
        <w:t xml:space="preserve">Capofila del Progetto: </w:t>
      </w:r>
      <w:r w:rsidR="00C42A65">
        <w:rPr>
          <w:rFonts w:asciiTheme="minorHAnsi" w:hAnsiTheme="minorHAnsi" w:cstheme="minorHAnsi"/>
          <w:sz w:val="32"/>
          <w:szCs w:val="32"/>
        </w:rPr>
        <w:t xml:space="preserve">CDE CONSIGLIO NAZIONALE DELLE RICERCHE </w:t>
      </w:r>
      <w:r w:rsidRPr="00CE17D9">
        <w:rPr>
          <w:rFonts w:asciiTheme="minorHAnsi" w:hAnsiTheme="minorHAnsi" w:cstheme="minorHAnsi"/>
          <w:sz w:val="32"/>
          <w:szCs w:val="32"/>
        </w:rPr>
        <w:t>(</w:t>
      </w:r>
      <w:r w:rsidR="002D7CC3" w:rsidRPr="00CE17D9">
        <w:rPr>
          <w:rFonts w:asciiTheme="minorHAnsi" w:hAnsiTheme="minorHAnsi" w:cstheme="minorHAnsi"/>
          <w:sz w:val="32"/>
          <w:szCs w:val="32"/>
        </w:rPr>
        <w:t>C</w:t>
      </w:r>
      <w:r w:rsidRPr="00CE17D9">
        <w:rPr>
          <w:rFonts w:asciiTheme="minorHAnsi" w:hAnsiTheme="minorHAnsi" w:cstheme="minorHAnsi"/>
          <w:sz w:val="32"/>
          <w:szCs w:val="32"/>
        </w:rPr>
        <w:t xml:space="preserve">oordinatore nazionale) </w:t>
      </w:r>
    </w:p>
    <w:p w14:paraId="36924C89" w14:textId="73992022" w:rsidR="005A5514" w:rsidRPr="00CE17D9" w:rsidRDefault="00740F85" w:rsidP="007A78B2">
      <w:pPr>
        <w:numPr>
          <w:ilvl w:val="0"/>
          <w:numId w:val="3"/>
        </w:numPr>
        <w:rPr>
          <w:rFonts w:asciiTheme="minorHAnsi" w:hAnsiTheme="minorHAnsi" w:cstheme="minorHAnsi"/>
          <w:bCs/>
          <w:i/>
          <w:iCs/>
          <w:sz w:val="32"/>
          <w:szCs w:val="32"/>
        </w:rPr>
      </w:pPr>
      <w:r w:rsidRPr="00CE17D9">
        <w:rPr>
          <w:rFonts w:asciiTheme="minorHAnsi" w:hAnsiTheme="minorHAnsi" w:cstheme="minorHAnsi"/>
          <w:b/>
          <w:sz w:val="32"/>
          <w:szCs w:val="32"/>
        </w:rPr>
        <w:t>Titolo dell’iniziativa</w:t>
      </w:r>
      <w:r w:rsidR="00AA1FB3" w:rsidRPr="00CE17D9">
        <w:rPr>
          <w:rFonts w:asciiTheme="minorHAnsi" w:hAnsiTheme="minorHAnsi" w:cstheme="minorHAnsi"/>
          <w:bCs/>
          <w:iCs/>
          <w:sz w:val="32"/>
          <w:szCs w:val="32"/>
        </w:rPr>
        <w:t>:</w:t>
      </w:r>
      <w:r w:rsidR="00CE17D9">
        <w:rPr>
          <w:rFonts w:asciiTheme="minorHAnsi" w:hAnsiTheme="minorHAnsi" w:cstheme="minorHAnsi"/>
          <w:bCs/>
          <w:iCs/>
          <w:sz w:val="32"/>
          <w:szCs w:val="32"/>
        </w:rPr>
        <w:t xml:space="preserve"> </w:t>
      </w:r>
      <w:r w:rsidR="007C108F">
        <w:rPr>
          <w:rFonts w:asciiTheme="minorHAnsi" w:hAnsiTheme="minorHAnsi" w:cstheme="minorHAnsi"/>
          <w:bCs/>
          <w:iCs/>
          <w:sz w:val="32"/>
          <w:szCs w:val="32"/>
        </w:rPr>
        <w:t>I cittadini e le priorità della Commissione europea</w:t>
      </w:r>
    </w:p>
    <w:p w14:paraId="258EF9F0" w14:textId="77777777" w:rsidR="004D5C97" w:rsidRPr="00CE17D9" w:rsidRDefault="004D5C97" w:rsidP="002D1415">
      <w:pPr>
        <w:ind w:left="360"/>
        <w:rPr>
          <w:rFonts w:asciiTheme="minorHAnsi" w:hAnsiTheme="minorHAnsi" w:cstheme="minorHAnsi"/>
          <w:bCs/>
          <w:i/>
          <w:iCs/>
          <w:sz w:val="32"/>
          <w:szCs w:val="32"/>
        </w:rPr>
      </w:pPr>
    </w:p>
    <w:p w14:paraId="791741AD" w14:textId="21F5A063" w:rsidR="00F472FD" w:rsidRPr="00CE17D9" w:rsidRDefault="00740F85" w:rsidP="00933952">
      <w:pPr>
        <w:numPr>
          <w:ilvl w:val="0"/>
          <w:numId w:val="3"/>
        </w:numPr>
        <w:rPr>
          <w:rFonts w:asciiTheme="minorHAnsi" w:hAnsiTheme="minorHAnsi" w:cstheme="minorHAnsi"/>
          <w:b/>
          <w:i/>
          <w:sz w:val="32"/>
          <w:szCs w:val="32"/>
        </w:rPr>
      </w:pPr>
      <w:r w:rsidRPr="00CE17D9">
        <w:rPr>
          <w:rFonts w:asciiTheme="minorHAnsi" w:hAnsiTheme="minorHAnsi" w:cstheme="minorHAnsi"/>
          <w:b/>
          <w:sz w:val="32"/>
          <w:szCs w:val="32"/>
        </w:rPr>
        <w:t>CDE coordinatore dell’iniziativa</w:t>
      </w:r>
      <w:r w:rsidRPr="00CE17D9">
        <w:rPr>
          <w:rFonts w:asciiTheme="minorHAnsi" w:hAnsiTheme="minorHAnsi" w:cstheme="minorHAnsi"/>
          <w:sz w:val="32"/>
          <w:szCs w:val="32"/>
        </w:rPr>
        <w:t xml:space="preserve">: </w:t>
      </w:r>
      <w:r w:rsidR="007C108F">
        <w:rPr>
          <w:rFonts w:asciiTheme="minorHAnsi" w:hAnsiTheme="minorHAnsi" w:cstheme="minorHAnsi"/>
          <w:bCs/>
          <w:iCs/>
          <w:sz w:val="32"/>
          <w:szCs w:val="32"/>
        </w:rPr>
        <w:t>CDE dell’università degli studi di Perugia</w:t>
      </w:r>
    </w:p>
    <w:p w14:paraId="0C3F93B8" w14:textId="77777777" w:rsidR="00933952" w:rsidRPr="00CE17D9" w:rsidRDefault="00933952" w:rsidP="00933952">
      <w:pPr>
        <w:rPr>
          <w:rFonts w:asciiTheme="minorHAnsi" w:hAnsiTheme="minorHAnsi" w:cstheme="minorHAnsi"/>
          <w:b/>
          <w:i/>
          <w:sz w:val="32"/>
          <w:szCs w:val="32"/>
        </w:rPr>
      </w:pPr>
    </w:p>
    <w:p w14:paraId="7E12B5B5" w14:textId="3CBE302A" w:rsidR="00740F85" w:rsidRPr="00CE17D9" w:rsidRDefault="00740F85" w:rsidP="0047291A">
      <w:pPr>
        <w:numPr>
          <w:ilvl w:val="0"/>
          <w:numId w:val="3"/>
        </w:numPr>
        <w:rPr>
          <w:rFonts w:asciiTheme="minorHAnsi" w:hAnsiTheme="minorHAnsi" w:cstheme="minorHAnsi"/>
          <w:b/>
          <w:i/>
          <w:sz w:val="32"/>
          <w:szCs w:val="32"/>
        </w:rPr>
      </w:pPr>
      <w:r w:rsidRPr="00CE17D9">
        <w:rPr>
          <w:rFonts w:asciiTheme="minorHAnsi" w:hAnsiTheme="minorHAnsi" w:cstheme="minorHAnsi"/>
          <w:b/>
          <w:sz w:val="32"/>
          <w:szCs w:val="32"/>
        </w:rPr>
        <w:t>Sede dell’iniziativa:</w:t>
      </w:r>
      <w:r w:rsidRPr="00CE17D9">
        <w:rPr>
          <w:rFonts w:asciiTheme="minorHAnsi" w:hAnsiTheme="minorHAnsi" w:cstheme="minorHAnsi"/>
          <w:iCs/>
          <w:sz w:val="32"/>
          <w:szCs w:val="32"/>
        </w:rPr>
        <w:t xml:space="preserve"> </w:t>
      </w:r>
      <w:r w:rsidR="007C108F" w:rsidRPr="007C108F">
        <w:rPr>
          <w:rFonts w:asciiTheme="minorHAnsi" w:hAnsiTheme="minorHAnsi" w:cstheme="minorHAnsi"/>
          <w:iCs/>
          <w:sz w:val="32"/>
          <w:szCs w:val="32"/>
        </w:rPr>
        <w:t>Sala della Partecipazione, Palazzo Cesaroni Regione Umbria, Piazza Italia 2 06121 Perugia PG</w:t>
      </w:r>
    </w:p>
    <w:p w14:paraId="2ED1E5FA" w14:textId="77777777" w:rsidR="005A5514" w:rsidRPr="00CE17D9" w:rsidRDefault="005A5514" w:rsidP="005A5514">
      <w:pPr>
        <w:pStyle w:val="Paragrafoelenco"/>
        <w:rPr>
          <w:rFonts w:asciiTheme="minorHAnsi" w:hAnsiTheme="minorHAnsi" w:cstheme="minorHAnsi"/>
          <w:i/>
          <w:sz w:val="32"/>
          <w:szCs w:val="32"/>
        </w:rPr>
      </w:pPr>
    </w:p>
    <w:p w14:paraId="45708003" w14:textId="50AD1686" w:rsidR="00740F85" w:rsidRDefault="00740F85" w:rsidP="007A78B2">
      <w:pPr>
        <w:numPr>
          <w:ilvl w:val="0"/>
          <w:numId w:val="2"/>
        </w:numPr>
        <w:rPr>
          <w:rFonts w:ascii="Arial" w:hAnsi="Arial" w:cs="Arial"/>
          <w:iCs/>
          <w:color w:val="4F81BD" w:themeColor="accent1"/>
          <w:sz w:val="24"/>
        </w:rPr>
      </w:pPr>
      <w:r w:rsidRPr="00CE17D9">
        <w:rPr>
          <w:rFonts w:asciiTheme="minorHAnsi" w:hAnsiTheme="minorHAnsi" w:cstheme="minorHAnsi"/>
          <w:b/>
          <w:sz w:val="32"/>
          <w:szCs w:val="32"/>
        </w:rPr>
        <w:t>Data dell’iniziativa</w:t>
      </w:r>
      <w:r w:rsidR="00933952">
        <w:rPr>
          <w:rFonts w:ascii="Arial" w:hAnsi="Arial" w:cs="Arial"/>
          <w:b/>
          <w:sz w:val="24"/>
        </w:rPr>
        <w:t xml:space="preserve">: </w:t>
      </w:r>
      <w:r w:rsidR="007C108F">
        <w:rPr>
          <w:rFonts w:ascii="Arial" w:hAnsi="Arial" w:cs="Arial"/>
          <w:b/>
          <w:bCs/>
          <w:iCs/>
          <w:sz w:val="24"/>
        </w:rPr>
        <w:t>1</w:t>
      </w:r>
      <w:r w:rsidR="003C7151">
        <w:rPr>
          <w:rFonts w:ascii="Arial" w:hAnsi="Arial" w:cs="Arial"/>
          <w:b/>
          <w:bCs/>
          <w:iCs/>
          <w:sz w:val="24"/>
        </w:rPr>
        <w:t>0</w:t>
      </w:r>
      <w:r w:rsidR="007C108F">
        <w:rPr>
          <w:rFonts w:ascii="Arial" w:hAnsi="Arial" w:cs="Arial"/>
          <w:b/>
          <w:bCs/>
          <w:iCs/>
          <w:sz w:val="24"/>
        </w:rPr>
        <w:t xml:space="preserve"> dicembre 2025</w:t>
      </w:r>
    </w:p>
    <w:p w14:paraId="1867E771" w14:textId="77777777" w:rsidR="00CE17D9" w:rsidRDefault="00CE17D9" w:rsidP="00CE17D9">
      <w:pPr>
        <w:rPr>
          <w:sz w:val="24"/>
        </w:rPr>
      </w:pPr>
    </w:p>
    <w:p w14:paraId="6526A68D" w14:textId="77777777" w:rsidR="00CE17D9" w:rsidRDefault="00CE17D9" w:rsidP="00CE17D9">
      <w:pPr>
        <w:rPr>
          <w:b/>
          <w:color w:val="17365D" w:themeColor="text2" w:themeShade="BF"/>
          <w:sz w:val="32"/>
          <w:szCs w:val="32"/>
        </w:rPr>
      </w:pPr>
    </w:p>
    <w:p w14:paraId="16D05A86" w14:textId="77777777" w:rsidR="00CE17D9" w:rsidRPr="00CE17D9" w:rsidRDefault="008F6854" w:rsidP="00A172DD">
      <w:pPr>
        <w:jc w:val="center"/>
        <w:rPr>
          <w:b/>
          <w:color w:val="006699"/>
          <w:sz w:val="40"/>
          <w:szCs w:val="40"/>
        </w:rPr>
      </w:pPr>
      <w:r w:rsidRPr="00CE17D9">
        <w:rPr>
          <w:b/>
          <w:color w:val="006699"/>
          <w:sz w:val="40"/>
          <w:szCs w:val="40"/>
        </w:rPr>
        <w:t>Relazione sull’iniziativa</w:t>
      </w:r>
    </w:p>
    <w:tbl>
      <w:tblPr>
        <w:tblW w:w="0" w:type="auto"/>
        <w:shd w:val="clear" w:color="auto" w:fill="0066FF"/>
        <w:tblLook w:val="04A0" w:firstRow="1" w:lastRow="0" w:firstColumn="1" w:lastColumn="0" w:noHBand="0" w:noVBand="1"/>
      </w:tblPr>
      <w:tblGrid>
        <w:gridCol w:w="9402"/>
        <w:gridCol w:w="236"/>
      </w:tblGrid>
      <w:tr w:rsidR="00CE17D9" w:rsidRPr="00CE17D9" w14:paraId="79F82827" w14:textId="77777777" w:rsidTr="00CE17D9">
        <w:tc>
          <w:tcPr>
            <w:tcW w:w="9556" w:type="dxa"/>
            <w:shd w:val="clear" w:color="auto" w:fill="009999"/>
          </w:tcPr>
          <w:p w14:paraId="522D7E5A" w14:textId="77777777" w:rsidR="008F6854" w:rsidRPr="00CE17D9" w:rsidRDefault="008F6854" w:rsidP="00CE17D9">
            <w:pPr>
              <w:rPr>
                <w:bCs/>
                <w:color w:val="009999"/>
              </w:rPr>
            </w:pPr>
          </w:p>
        </w:tc>
        <w:tc>
          <w:tcPr>
            <w:tcW w:w="236" w:type="dxa"/>
            <w:shd w:val="clear" w:color="auto" w:fill="0066FF"/>
          </w:tcPr>
          <w:p w14:paraId="36551AF6" w14:textId="77777777" w:rsidR="008F6854" w:rsidRPr="00CE17D9" w:rsidRDefault="008F6854" w:rsidP="00740F85">
            <w:pPr>
              <w:rPr>
                <w:bCs/>
                <w:color w:val="009999"/>
              </w:rPr>
            </w:pPr>
          </w:p>
        </w:tc>
      </w:tr>
    </w:tbl>
    <w:p w14:paraId="402969BD" w14:textId="77777777" w:rsidR="00FE048A" w:rsidRDefault="00FE048A" w:rsidP="0047291A">
      <w:pPr>
        <w:keepNext/>
        <w:spacing w:line="360" w:lineRule="auto"/>
        <w:ind w:right="-27"/>
        <w:rPr>
          <w:rFonts w:ascii="Arial" w:hAnsi="Arial" w:cs="Arial"/>
          <w:b/>
          <w:bCs/>
        </w:rPr>
      </w:pPr>
    </w:p>
    <w:p w14:paraId="6AA1E3D9"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1. Introduzione</w:t>
      </w:r>
    </w:p>
    <w:p w14:paraId="5FAEF36A" w14:textId="262E75E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 xml:space="preserve">Il 10 dicembre 2025, presso la Sala della Partecipazione del Consiglio Regionale dell’Umbria, si è svolto il seminario </w:t>
      </w:r>
      <w:r w:rsidRPr="003C7151">
        <w:rPr>
          <w:rFonts w:asciiTheme="minorHAnsi" w:hAnsiTheme="minorHAnsi" w:cstheme="minorHAnsi"/>
          <w:i/>
          <w:iCs/>
          <w:sz w:val="24"/>
        </w:rPr>
        <w:t>“I cittadini e le priorità della Commissione europea 2024-2029”</w:t>
      </w:r>
      <w:r w:rsidRPr="003C7151">
        <w:rPr>
          <w:rFonts w:asciiTheme="minorHAnsi" w:hAnsiTheme="minorHAnsi" w:cstheme="minorHAnsi"/>
          <w:sz w:val="24"/>
        </w:rPr>
        <w:t>, organizzato dal Centro di Documentazione Europea (CDE) dell’Università degli Studi di Perugia.</w:t>
      </w:r>
      <w:r w:rsidRPr="003C7151">
        <w:rPr>
          <w:rFonts w:asciiTheme="minorHAnsi" w:hAnsiTheme="minorHAnsi" w:cstheme="minorHAnsi"/>
          <w:sz w:val="24"/>
        </w:rPr>
        <w:br/>
        <w:t>L’iniziativa nasce dall’esigenza di affrontare uno dei problemi strutturali del processo di integrazione europea: la persistente distanza tra l’Unione e i suoi cittadini, dovuta anche alla scarsa conoscenza delle priorità politiche e dell’attività delle istituzioni europee.</w:t>
      </w:r>
      <w:r w:rsidR="007926C2">
        <w:rPr>
          <w:rFonts w:asciiTheme="minorHAnsi" w:hAnsiTheme="minorHAnsi" w:cstheme="minorHAnsi"/>
          <w:sz w:val="24"/>
        </w:rPr>
        <w:br/>
      </w:r>
    </w:p>
    <w:p w14:paraId="55BD25D0"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2. Obiettivi dell’incontro</w:t>
      </w:r>
    </w:p>
    <w:p w14:paraId="54608383"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L’evento aveva lo scopo di:</w:t>
      </w:r>
    </w:p>
    <w:p w14:paraId="15A22876" w14:textId="77777777" w:rsidR="003C7151" w:rsidRPr="003C7151" w:rsidRDefault="003C7151" w:rsidP="003C7151">
      <w:pPr>
        <w:numPr>
          <w:ilvl w:val="0"/>
          <w:numId w:val="6"/>
        </w:numPr>
        <w:rPr>
          <w:rFonts w:asciiTheme="minorHAnsi" w:hAnsiTheme="minorHAnsi" w:cstheme="minorHAnsi"/>
          <w:sz w:val="24"/>
        </w:rPr>
      </w:pPr>
      <w:r w:rsidRPr="003C7151">
        <w:rPr>
          <w:rFonts w:asciiTheme="minorHAnsi" w:hAnsiTheme="minorHAnsi" w:cstheme="minorHAnsi"/>
          <w:sz w:val="24"/>
        </w:rPr>
        <w:t>Analizzare quanto i cittadini conoscano (o non conoscano) le priorità della legislatura 2024–2029 della Commissione europea.</w:t>
      </w:r>
    </w:p>
    <w:p w14:paraId="08F6F19D" w14:textId="77777777" w:rsidR="003C7151" w:rsidRPr="003C7151" w:rsidRDefault="003C7151" w:rsidP="003C7151">
      <w:pPr>
        <w:numPr>
          <w:ilvl w:val="0"/>
          <w:numId w:val="6"/>
        </w:numPr>
        <w:rPr>
          <w:rFonts w:asciiTheme="minorHAnsi" w:hAnsiTheme="minorHAnsi" w:cstheme="minorHAnsi"/>
          <w:sz w:val="24"/>
        </w:rPr>
      </w:pPr>
      <w:r w:rsidRPr="003C7151">
        <w:rPr>
          <w:rFonts w:asciiTheme="minorHAnsi" w:hAnsiTheme="minorHAnsi" w:cstheme="minorHAnsi"/>
          <w:sz w:val="24"/>
        </w:rPr>
        <w:t>Riflettere sull’efficacia della comunicazione istituzionale europea e sul modo in cui le informazioni vengono diffuse, recepite e interpretate dal pubblico.</w:t>
      </w:r>
    </w:p>
    <w:p w14:paraId="049FD71A" w14:textId="77777777" w:rsidR="003C7151" w:rsidRPr="003C7151" w:rsidRDefault="003C7151" w:rsidP="003C7151">
      <w:pPr>
        <w:numPr>
          <w:ilvl w:val="0"/>
          <w:numId w:val="6"/>
        </w:numPr>
        <w:rPr>
          <w:rFonts w:asciiTheme="minorHAnsi" w:hAnsiTheme="minorHAnsi" w:cstheme="minorHAnsi"/>
          <w:sz w:val="24"/>
        </w:rPr>
      </w:pPr>
      <w:r w:rsidRPr="003C7151">
        <w:rPr>
          <w:rFonts w:asciiTheme="minorHAnsi" w:hAnsiTheme="minorHAnsi" w:cstheme="minorHAnsi"/>
          <w:sz w:val="24"/>
        </w:rPr>
        <w:t>Esplorare cosa funziona e cosa invece risulta carente nella divulgazione dell’azione legislativa ed esecutiva dell’UE (proposte normative, strategie, programmi, piani operativi).</w:t>
      </w:r>
    </w:p>
    <w:p w14:paraId="030BA35E" w14:textId="77777777" w:rsidR="003C7151" w:rsidRDefault="003C7151" w:rsidP="003C7151">
      <w:pPr>
        <w:numPr>
          <w:ilvl w:val="0"/>
          <w:numId w:val="6"/>
        </w:numPr>
        <w:rPr>
          <w:rFonts w:asciiTheme="minorHAnsi" w:hAnsiTheme="minorHAnsi" w:cstheme="minorHAnsi"/>
          <w:sz w:val="24"/>
        </w:rPr>
      </w:pPr>
      <w:r w:rsidRPr="003C7151">
        <w:rPr>
          <w:rFonts w:asciiTheme="minorHAnsi" w:hAnsiTheme="minorHAnsi" w:cstheme="minorHAnsi"/>
          <w:sz w:val="24"/>
        </w:rPr>
        <w:lastRenderedPageBreak/>
        <w:t>Favorire un dialogo aperto tra operatori dell’informazione, istituzioni e comunità locale.</w:t>
      </w:r>
    </w:p>
    <w:p w14:paraId="1723F0B7" w14:textId="77777777" w:rsidR="007926C2" w:rsidRPr="003C7151" w:rsidRDefault="007926C2" w:rsidP="007926C2">
      <w:pPr>
        <w:ind w:left="720"/>
        <w:rPr>
          <w:rFonts w:asciiTheme="minorHAnsi" w:hAnsiTheme="minorHAnsi" w:cstheme="minorHAnsi"/>
          <w:sz w:val="24"/>
        </w:rPr>
      </w:pPr>
    </w:p>
    <w:p w14:paraId="7086F2FC"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3. Partecipanti e relatori</w:t>
      </w:r>
    </w:p>
    <w:p w14:paraId="0424A357"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 xml:space="preserve">Il dibattito è stato guidato da </w:t>
      </w:r>
      <w:r w:rsidRPr="003C7151">
        <w:rPr>
          <w:rFonts w:asciiTheme="minorHAnsi" w:hAnsiTheme="minorHAnsi" w:cstheme="minorHAnsi"/>
          <w:b/>
          <w:bCs/>
          <w:sz w:val="24"/>
        </w:rPr>
        <w:t>Fabio Raspadori</w:t>
      </w:r>
      <w:r w:rsidRPr="003C7151">
        <w:rPr>
          <w:rFonts w:asciiTheme="minorHAnsi" w:hAnsiTheme="minorHAnsi" w:cstheme="minorHAnsi"/>
          <w:sz w:val="24"/>
        </w:rPr>
        <w:t>, docente di diritto dell’Unione europea e responsabile del CDE.</w:t>
      </w:r>
      <w:r w:rsidRPr="003C7151">
        <w:rPr>
          <w:rFonts w:asciiTheme="minorHAnsi" w:hAnsiTheme="minorHAnsi" w:cstheme="minorHAnsi"/>
          <w:sz w:val="24"/>
        </w:rPr>
        <w:br/>
        <w:t>Sono intervenuti professionisti dell’informazione con esperienza diretta nella comunicazione europea:</w:t>
      </w:r>
    </w:p>
    <w:p w14:paraId="0C9AF97B" w14:textId="77777777" w:rsidR="003C7151" w:rsidRPr="003C7151" w:rsidRDefault="003C7151" w:rsidP="003C7151">
      <w:pPr>
        <w:numPr>
          <w:ilvl w:val="0"/>
          <w:numId w:val="7"/>
        </w:numPr>
        <w:rPr>
          <w:rFonts w:asciiTheme="minorHAnsi" w:hAnsiTheme="minorHAnsi" w:cstheme="minorHAnsi"/>
          <w:sz w:val="24"/>
        </w:rPr>
      </w:pPr>
      <w:r w:rsidRPr="003C7151">
        <w:rPr>
          <w:rFonts w:asciiTheme="minorHAnsi" w:hAnsiTheme="minorHAnsi" w:cstheme="minorHAnsi"/>
          <w:b/>
          <w:bCs/>
          <w:sz w:val="24"/>
        </w:rPr>
        <w:t>David Carretta</w:t>
      </w:r>
      <w:r w:rsidRPr="003C7151">
        <w:rPr>
          <w:rFonts w:asciiTheme="minorHAnsi" w:hAnsiTheme="minorHAnsi" w:cstheme="minorHAnsi"/>
          <w:sz w:val="24"/>
        </w:rPr>
        <w:t xml:space="preserve">, giornalista accreditato a Bruxelles per </w:t>
      </w:r>
      <w:r w:rsidRPr="003C7151">
        <w:rPr>
          <w:rFonts w:asciiTheme="minorHAnsi" w:hAnsiTheme="minorHAnsi" w:cstheme="minorHAnsi"/>
          <w:i/>
          <w:iCs/>
          <w:sz w:val="24"/>
        </w:rPr>
        <w:t>Il Foglio</w:t>
      </w:r>
      <w:r w:rsidRPr="003C7151">
        <w:rPr>
          <w:rFonts w:asciiTheme="minorHAnsi" w:hAnsiTheme="minorHAnsi" w:cstheme="minorHAnsi"/>
          <w:sz w:val="24"/>
        </w:rPr>
        <w:t xml:space="preserve">, </w:t>
      </w:r>
      <w:r w:rsidRPr="003C7151">
        <w:rPr>
          <w:rFonts w:asciiTheme="minorHAnsi" w:hAnsiTheme="minorHAnsi" w:cstheme="minorHAnsi"/>
          <w:i/>
          <w:iCs/>
          <w:sz w:val="24"/>
        </w:rPr>
        <w:t>Radio Radicale</w:t>
      </w:r>
      <w:r w:rsidRPr="003C7151">
        <w:rPr>
          <w:rFonts w:asciiTheme="minorHAnsi" w:hAnsiTheme="minorHAnsi" w:cstheme="minorHAnsi"/>
          <w:sz w:val="24"/>
        </w:rPr>
        <w:t xml:space="preserve"> e co-autore della newsletter </w:t>
      </w:r>
      <w:r w:rsidRPr="003C7151">
        <w:rPr>
          <w:rFonts w:asciiTheme="minorHAnsi" w:hAnsiTheme="minorHAnsi" w:cstheme="minorHAnsi"/>
          <w:i/>
          <w:iCs/>
          <w:sz w:val="24"/>
        </w:rPr>
        <w:t>Il Mattinale europeo</w:t>
      </w:r>
      <w:r w:rsidRPr="003C7151">
        <w:rPr>
          <w:rFonts w:asciiTheme="minorHAnsi" w:hAnsiTheme="minorHAnsi" w:cstheme="minorHAnsi"/>
          <w:sz w:val="24"/>
        </w:rPr>
        <w:t>;</w:t>
      </w:r>
    </w:p>
    <w:p w14:paraId="306191FE" w14:textId="77777777" w:rsidR="003C7151" w:rsidRPr="003C7151" w:rsidRDefault="003C7151" w:rsidP="003C7151">
      <w:pPr>
        <w:numPr>
          <w:ilvl w:val="0"/>
          <w:numId w:val="7"/>
        </w:numPr>
        <w:rPr>
          <w:rFonts w:asciiTheme="minorHAnsi" w:hAnsiTheme="minorHAnsi" w:cstheme="minorHAnsi"/>
          <w:sz w:val="24"/>
        </w:rPr>
      </w:pPr>
      <w:r w:rsidRPr="003C7151">
        <w:rPr>
          <w:rFonts w:asciiTheme="minorHAnsi" w:hAnsiTheme="minorHAnsi" w:cstheme="minorHAnsi"/>
          <w:b/>
          <w:bCs/>
          <w:sz w:val="24"/>
        </w:rPr>
        <w:t xml:space="preserve">Valentina </w:t>
      </w:r>
      <w:proofErr w:type="spellStart"/>
      <w:r w:rsidRPr="003C7151">
        <w:rPr>
          <w:rFonts w:asciiTheme="minorHAnsi" w:hAnsiTheme="minorHAnsi" w:cstheme="minorHAnsi"/>
          <w:b/>
          <w:bCs/>
          <w:sz w:val="24"/>
        </w:rPr>
        <w:t>Parasecolo</w:t>
      </w:r>
      <w:proofErr w:type="spellEnd"/>
      <w:r w:rsidRPr="003C7151">
        <w:rPr>
          <w:rFonts w:asciiTheme="minorHAnsi" w:hAnsiTheme="minorHAnsi" w:cstheme="minorHAnsi"/>
          <w:sz w:val="24"/>
        </w:rPr>
        <w:t>, Responsabile media dell’Ufficio di collegamento del Parlamento europeo a Milano;</w:t>
      </w:r>
    </w:p>
    <w:p w14:paraId="2A2A7A7E" w14:textId="77777777" w:rsidR="003C7151" w:rsidRPr="003C7151" w:rsidRDefault="003C7151" w:rsidP="003C7151">
      <w:pPr>
        <w:numPr>
          <w:ilvl w:val="0"/>
          <w:numId w:val="7"/>
        </w:numPr>
        <w:rPr>
          <w:rFonts w:asciiTheme="minorHAnsi" w:hAnsiTheme="minorHAnsi" w:cstheme="minorHAnsi"/>
          <w:sz w:val="24"/>
        </w:rPr>
      </w:pPr>
      <w:r w:rsidRPr="003C7151">
        <w:rPr>
          <w:rFonts w:asciiTheme="minorHAnsi" w:hAnsiTheme="minorHAnsi" w:cstheme="minorHAnsi"/>
          <w:b/>
          <w:bCs/>
          <w:sz w:val="24"/>
        </w:rPr>
        <w:t>Alessandro Antonini</w:t>
      </w:r>
      <w:r w:rsidRPr="003C7151">
        <w:rPr>
          <w:rFonts w:asciiTheme="minorHAnsi" w:hAnsiTheme="minorHAnsi" w:cstheme="minorHAnsi"/>
          <w:sz w:val="24"/>
        </w:rPr>
        <w:t xml:space="preserve">, giornalista del </w:t>
      </w:r>
      <w:r w:rsidRPr="003C7151">
        <w:rPr>
          <w:rFonts w:asciiTheme="minorHAnsi" w:hAnsiTheme="minorHAnsi" w:cstheme="minorHAnsi"/>
          <w:i/>
          <w:iCs/>
          <w:sz w:val="24"/>
        </w:rPr>
        <w:t>Corriere dell’Umbria</w:t>
      </w:r>
      <w:r w:rsidRPr="003C7151">
        <w:rPr>
          <w:rFonts w:asciiTheme="minorHAnsi" w:hAnsiTheme="minorHAnsi" w:cstheme="minorHAnsi"/>
          <w:sz w:val="24"/>
        </w:rPr>
        <w:t xml:space="preserve"> per le pagine di politica;</w:t>
      </w:r>
    </w:p>
    <w:p w14:paraId="3AA9F69C" w14:textId="77777777" w:rsidR="003C7151" w:rsidRPr="003C7151" w:rsidRDefault="003C7151" w:rsidP="003C7151">
      <w:pPr>
        <w:numPr>
          <w:ilvl w:val="0"/>
          <w:numId w:val="7"/>
        </w:numPr>
        <w:rPr>
          <w:rFonts w:asciiTheme="minorHAnsi" w:hAnsiTheme="minorHAnsi" w:cstheme="minorHAnsi"/>
          <w:sz w:val="24"/>
        </w:rPr>
      </w:pPr>
      <w:r w:rsidRPr="003C7151">
        <w:rPr>
          <w:rFonts w:asciiTheme="minorHAnsi" w:hAnsiTheme="minorHAnsi" w:cstheme="minorHAnsi"/>
          <w:b/>
          <w:bCs/>
          <w:sz w:val="24"/>
        </w:rPr>
        <w:t>Martino Tosti</w:t>
      </w:r>
      <w:r w:rsidRPr="003C7151">
        <w:rPr>
          <w:rFonts w:asciiTheme="minorHAnsi" w:hAnsiTheme="minorHAnsi" w:cstheme="minorHAnsi"/>
          <w:sz w:val="24"/>
        </w:rPr>
        <w:t xml:space="preserve">, rappresentante di Radio </w:t>
      </w:r>
      <w:proofErr w:type="spellStart"/>
      <w:r w:rsidRPr="003C7151">
        <w:rPr>
          <w:rFonts w:asciiTheme="minorHAnsi" w:hAnsiTheme="minorHAnsi" w:cstheme="minorHAnsi"/>
          <w:sz w:val="24"/>
        </w:rPr>
        <w:t>Glox</w:t>
      </w:r>
      <w:proofErr w:type="spellEnd"/>
      <w:r w:rsidRPr="003C7151">
        <w:rPr>
          <w:rFonts w:asciiTheme="minorHAnsi" w:hAnsiTheme="minorHAnsi" w:cstheme="minorHAnsi"/>
          <w:sz w:val="24"/>
        </w:rPr>
        <w:t>.</w:t>
      </w:r>
    </w:p>
    <w:p w14:paraId="25669969" w14:textId="58D65294"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La presenza di relatori provenienti sia dalle istituzioni sia dal mondo dei media ha consentito una discussione articolata e multidisciplinare.</w:t>
      </w:r>
      <w:r w:rsidR="007926C2">
        <w:rPr>
          <w:rFonts w:asciiTheme="minorHAnsi" w:hAnsiTheme="minorHAnsi" w:cstheme="minorHAnsi"/>
          <w:sz w:val="24"/>
        </w:rPr>
        <w:br/>
      </w:r>
    </w:p>
    <w:p w14:paraId="6C1829B5"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4. Svolgimento e contenuti emersi</w:t>
      </w:r>
    </w:p>
    <w:p w14:paraId="7604F96A"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Durante l’incontro sono stati affrontati i seguenti temi:</w:t>
      </w:r>
    </w:p>
    <w:p w14:paraId="37E150AB"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4.1 Gap informativo tra UE e cittadini</w:t>
      </w:r>
    </w:p>
    <w:p w14:paraId="59E07F05"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È stato sottolineato come solo una minoranza della popolazione sia effettivamente consapevole delle priorità politiche della Commissione europea. Tale distanza risulta particolarmente problematica in una fase politica in cui l’UE assume un ruolo sempre più rilevante nella regolamentazione economica, sociale e digitale.</w:t>
      </w:r>
    </w:p>
    <w:p w14:paraId="1475C6EC"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4.2 Accesso all’informazione</w:t>
      </w:r>
    </w:p>
    <w:p w14:paraId="055D18FD"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I relatori hanno evidenziato come l’informazione europea sia spesso percepita come tecnica, frammentata e poco accessibile. La difficoltà nel reperire contenuti affidabili e aggiornati rappresenta un ostacolo concreto alla partecipazione democratica.</w:t>
      </w:r>
    </w:p>
    <w:p w14:paraId="5F945FCD"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4.3 Ruolo dei media</w:t>
      </w:r>
    </w:p>
    <w:p w14:paraId="5A2C16A9"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Giornalisti e operatori della comunicazione hanno discusso le sfide legate alla divulgazione delle tematiche europee:</w:t>
      </w:r>
    </w:p>
    <w:p w14:paraId="686E2D68" w14:textId="77777777" w:rsidR="003C7151" w:rsidRPr="003C7151" w:rsidRDefault="003C7151" w:rsidP="003C7151">
      <w:pPr>
        <w:numPr>
          <w:ilvl w:val="0"/>
          <w:numId w:val="8"/>
        </w:numPr>
        <w:rPr>
          <w:rFonts w:asciiTheme="minorHAnsi" w:hAnsiTheme="minorHAnsi" w:cstheme="minorHAnsi"/>
          <w:sz w:val="24"/>
        </w:rPr>
      </w:pPr>
      <w:r w:rsidRPr="003C7151">
        <w:rPr>
          <w:rFonts w:asciiTheme="minorHAnsi" w:hAnsiTheme="minorHAnsi" w:cstheme="minorHAnsi"/>
          <w:sz w:val="24"/>
        </w:rPr>
        <w:t>complessità dei dossier legislativi;</w:t>
      </w:r>
    </w:p>
    <w:p w14:paraId="65D0CAB7" w14:textId="77777777" w:rsidR="003C7151" w:rsidRPr="003C7151" w:rsidRDefault="003C7151" w:rsidP="003C7151">
      <w:pPr>
        <w:numPr>
          <w:ilvl w:val="0"/>
          <w:numId w:val="8"/>
        </w:numPr>
        <w:rPr>
          <w:rFonts w:asciiTheme="minorHAnsi" w:hAnsiTheme="minorHAnsi" w:cstheme="minorHAnsi"/>
          <w:sz w:val="24"/>
        </w:rPr>
      </w:pPr>
      <w:r w:rsidRPr="003C7151">
        <w:rPr>
          <w:rFonts w:asciiTheme="minorHAnsi" w:hAnsiTheme="minorHAnsi" w:cstheme="minorHAnsi"/>
          <w:sz w:val="24"/>
        </w:rPr>
        <w:t>scarsità di strumenti narrativi che rendano i contenuti europei comprensibili e coinvolgenti;</w:t>
      </w:r>
    </w:p>
    <w:p w14:paraId="15FDC9D1" w14:textId="77777777" w:rsidR="003C7151" w:rsidRPr="003C7151" w:rsidRDefault="003C7151" w:rsidP="003C7151">
      <w:pPr>
        <w:numPr>
          <w:ilvl w:val="0"/>
          <w:numId w:val="8"/>
        </w:numPr>
        <w:rPr>
          <w:rFonts w:asciiTheme="minorHAnsi" w:hAnsiTheme="minorHAnsi" w:cstheme="minorHAnsi"/>
          <w:sz w:val="24"/>
        </w:rPr>
      </w:pPr>
      <w:r w:rsidRPr="003C7151">
        <w:rPr>
          <w:rFonts w:asciiTheme="minorHAnsi" w:hAnsiTheme="minorHAnsi" w:cstheme="minorHAnsi"/>
          <w:sz w:val="24"/>
        </w:rPr>
        <w:t>necessità di superare l’impressione che “Bruxelles” sia distante dalla vita quotidiana.</w:t>
      </w:r>
    </w:p>
    <w:p w14:paraId="443409A7"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4.4 Responsabilità delle istituzioni</w:t>
      </w:r>
    </w:p>
    <w:p w14:paraId="1B632463" w14:textId="312AD72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È emersa l’esigenza che le istituzioni europee perfezionino i loro canali informativi, rendendo più immediata, chiara e verificabile la comunicazione sulle priorità della Commissione 2024–2029.</w:t>
      </w:r>
      <w:r w:rsidR="007926C2">
        <w:rPr>
          <w:rFonts w:asciiTheme="minorHAnsi" w:hAnsiTheme="minorHAnsi" w:cstheme="minorHAnsi"/>
          <w:sz w:val="24"/>
        </w:rPr>
        <w:br/>
      </w:r>
    </w:p>
    <w:p w14:paraId="45779FD7" w14:textId="77777777" w:rsidR="003C7151" w:rsidRPr="003C7151" w:rsidRDefault="003C7151" w:rsidP="003C7151">
      <w:pPr>
        <w:numPr>
          <w:ilvl w:val="0"/>
          <w:numId w:val="6"/>
        </w:numPr>
        <w:rPr>
          <w:rFonts w:asciiTheme="minorHAnsi" w:hAnsiTheme="minorHAnsi" w:cstheme="minorHAnsi"/>
          <w:b/>
          <w:bCs/>
          <w:sz w:val="24"/>
        </w:rPr>
      </w:pPr>
      <w:r w:rsidRPr="003C7151">
        <w:rPr>
          <w:rFonts w:asciiTheme="minorHAnsi" w:hAnsiTheme="minorHAnsi" w:cstheme="minorHAnsi"/>
          <w:b/>
          <w:bCs/>
          <w:sz w:val="24"/>
        </w:rPr>
        <w:t>5. Conclusioni</w:t>
      </w:r>
    </w:p>
    <w:p w14:paraId="193BC596"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Il seminario ha confermato che rafforzare la qualità e l’efficacia della comunicazione europea è una priorità essenziale.</w:t>
      </w:r>
      <w:r w:rsidRPr="003C7151">
        <w:rPr>
          <w:rFonts w:asciiTheme="minorHAnsi" w:hAnsiTheme="minorHAnsi" w:cstheme="minorHAnsi"/>
          <w:sz w:val="24"/>
        </w:rPr>
        <w:br/>
        <w:t>Solo tramite una diffusione più comprensibile e capillare delle attività dell’UE sarà possibile ridurre la distanza percepita tra istituzioni e cittadini e favorire una partecipazione più informata.</w:t>
      </w:r>
    </w:p>
    <w:p w14:paraId="2517D41A" w14:textId="77777777" w:rsidR="003C7151" w:rsidRPr="003C7151" w:rsidRDefault="003C7151" w:rsidP="003C7151">
      <w:pPr>
        <w:rPr>
          <w:rFonts w:asciiTheme="minorHAnsi" w:hAnsiTheme="minorHAnsi" w:cstheme="minorHAnsi"/>
          <w:sz w:val="24"/>
        </w:rPr>
      </w:pPr>
      <w:r w:rsidRPr="003C7151">
        <w:rPr>
          <w:rFonts w:asciiTheme="minorHAnsi" w:hAnsiTheme="minorHAnsi" w:cstheme="minorHAnsi"/>
          <w:sz w:val="24"/>
        </w:rPr>
        <w:t>L’iniziativa del CDE si è dunque rivelata un’occasione preziosa per:</w:t>
      </w:r>
    </w:p>
    <w:p w14:paraId="1E309D4C" w14:textId="77777777" w:rsidR="003C7151" w:rsidRPr="003C7151" w:rsidRDefault="003C7151" w:rsidP="003C7151">
      <w:pPr>
        <w:numPr>
          <w:ilvl w:val="0"/>
          <w:numId w:val="9"/>
        </w:numPr>
        <w:rPr>
          <w:rFonts w:asciiTheme="minorHAnsi" w:hAnsiTheme="minorHAnsi" w:cstheme="minorHAnsi"/>
          <w:sz w:val="24"/>
        </w:rPr>
      </w:pPr>
      <w:r w:rsidRPr="003C7151">
        <w:rPr>
          <w:rFonts w:asciiTheme="minorHAnsi" w:hAnsiTheme="minorHAnsi" w:cstheme="minorHAnsi"/>
          <w:sz w:val="24"/>
        </w:rPr>
        <w:t>creare consapevolezza;</w:t>
      </w:r>
    </w:p>
    <w:p w14:paraId="4A0F3AC2" w14:textId="77777777" w:rsidR="003C7151" w:rsidRPr="003C7151" w:rsidRDefault="003C7151" w:rsidP="003C7151">
      <w:pPr>
        <w:numPr>
          <w:ilvl w:val="0"/>
          <w:numId w:val="9"/>
        </w:numPr>
        <w:rPr>
          <w:rFonts w:asciiTheme="minorHAnsi" w:hAnsiTheme="minorHAnsi" w:cstheme="minorHAnsi"/>
          <w:sz w:val="24"/>
        </w:rPr>
      </w:pPr>
      <w:r w:rsidRPr="003C7151">
        <w:rPr>
          <w:rFonts w:asciiTheme="minorHAnsi" w:hAnsiTheme="minorHAnsi" w:cstheme="minorHAnsi"/>
          <w:sz w:val="24"/>
        </w:rPr>
        <w:t>avvicinare le istituzioni europee alla comunità regionale;</w:t>
      </w:r>
    </w:p>
    <w:p w14:paraId="454E0FA0" w14:textId="77777777" w:rsidR="003C7151" w:rsidRPr="003C7151" w:rsidRDefault="003C7151" w:rsidP="003C7151">
      <w:pPr>
        <w:numPr>
          <w:ilvl w:val="0"/>
          <w:numId w:val="9"/>
        </w:numPr>
        <w:rPr>
          <w:rFonts w:asciiTheme="minorHAnsi" w:hAnsiTheme="minorHAnsi" w:cstheme="minorHAnsi"/>
          <w:sz w:val="24"/>
        </w:rPr>
      </w:pPr>
      <w:r w:rsidRPr="003C7151">
        <w:rPr>
          <w:rFonts w:asciiTheme="minorHAnsi" w:hAnsiTheme="minorHAnsi" w:cstheme="minorHAnsi"/>
          <w:sz w:val="24"/>
        </w:rPr>
        <w:t>promuovere un confronto costruttivo tra addetti ai lavori e pubblico.</w:t>
      </w:r>
    </w:p>
    <w:p w14:paraId="79D19CE0" w14:textId="77777777" w:rsidR="00933952" w:rsidRDefault="00933952" w:rsidP="00933952">
      <w:pPr>
        <w:rPr>
          <w:rFonts w:ascii="Arial" w:hAnsi="Arial" w:cs="Arial"/>
          <w:sz w:val="24"/>
        </w:rPr>
      </w:pPr>
    </w:p>
    <w:p w14:paraId="12864334" w14:textId="77777777" w:rsidR="00C43E96" w:rsidRDefault="00C43E96" w:rsidP="00933952">
      <w:pPr>
        <w:suppressAutoHyphens w:val="0"/>
        <w:rPr>
          <w:rFonts w:ascii="Arial" w:hAnsi="Arial" w:cs="Arial"/>
          <w:sz w:val="24"/>
        </w:rPr>
      </w:pPr>
    </w:p>
    <w:p w14:paraId="11595E0E" w14:textId="77777777" w:rsidR="00933952" w:rsidRPr="00CE17D9" w:rsidRDefault="00933952" w:rsidP="0003434A">
      <w:pPr>
        <w:rPr>
          <w:b/>
          <w:color w:val="006699"/>
          <w:sz w:val="34"/>
          <w:szCs w:val="34"/>
        </w:rPr>
      </w:pPr>
      <w:r w:rsidRPr="00CE17D9">
        <w:rPr>
          <w:b/>
          <w:color w:val="006699"/>
          <w:sz w:val="34"/>
          <w:szCs w:val="34"/>
        </w:rPr>
        <w:lastRenderedPageBreak/>
        <w:t xml:space="preserve">Pubblico </w:t>
      </w:r>
      <w:r w:rsidR="00C90AD5" w:rsidRPr="00CE17D9">
        <w:rPr>
          <w:b/>
          <w:color w:val="006699"/>
          <w:sz w:val="34"/>
          <w:szCs w:val="34"/>
        </w:rPr>
        <w:t>partecipante</w:t>
      </w:r>
      <w:r w:rsidRPr="00CE17D9">
        <w:rPr>
          <w:b/>
          <w:color w:val="006699"/>
          <w:sz w:val="34"/>
          <w:szCs w:val="34"/>
        </w:rPr>
        <w:t xml:space="preserve"> all’iniziativa (target e numero partecipanti)</w:t>
      </w:r>
    </w:p>
    <w:tbl>
      <w:tblPr>
        <w:tblW w:w="0" w:type="auto"/>
        <w:shd w:val="clear" w:color="auto" w:fill="0066FF"/>
        <w:tblLook w:val="04A0" w:firstRow="1" w:lastRow="0" w:firstColumn="1" w:lastColumn="0" w:noHBand="0" w:noVBand="1"/>
      </w:tblPr>
      <w:tblGrid>
        <w:gridCol w:w="9166"/>
        <w:gridCol w:w="236"/>
        <w:gridCol w:w="236"/>
      </w:tblGrid>
      <w:tr w:rsidR="00CE17D9" w:rsidRPr="009E1296" w14:paraId="71FA752A" w14:textId="77777777" w:rsidTr="00A172DD">
        <w:tc>
          <w:tcPr>
            <w:tcW w:w="9166" w:type="dxa"/>
            <w:shd w:val="clear" w:color="auto" w:fill="009999"/>
          </w:tcPr>
          <w:p w14:paraId="2C79F15D" w14:textId="77777777" w:rsidR="00CE17D9" w:rsidRPr="00740F85" w:rsidRDefault="00CE17D9" w:rsidP="002977AB">
            <w:pPr>
              <w:suppressAutoHyphens w:val="0"/>
              <w:rPr>
                <w:b/>
                <w:bCs/>
                <w:color w:val="FFFFFF"/>
              </w:rPr>
            </w:pPr>
          </w:p>
        </w:tc>
        <w:tc>
          <w:tcPr>
            <w:tcW w:w="236" w:type="dxa"/>
            <w:shd w:val="clear" w:color="auto" w:fill="009999"/>
          </w:tcPr>
          <w:p w14:paraId="5D2D520D" w14:textId="77777777" w:rsidR="00CE17D9" w:rsidRPr="00740F85" w:rsidRDefault="00CE17D9" w:rsidP="002977AB">
            <w:pPr>
              <w:rPr>
                <w:b/>
                <w:bCs/>
                <w:color w:val="FFFFFF"/>
              </w:rPr>
            </w:pPr>
          </w:p>
        </w:tc>
        <w:tc>
          <w:tcPr>
            <w:tcW w:w="236" w:type="dxa"/>
            <w:shd w:val="clear" w:color="auto" w:fill="009999"/>
          </w:tcPr>
          <w:p w14:paraId="2EB1B1B0" w14:textId="77777777" w:rsidR="00CE17D9" w:rsidRPr="00740F85" w:rsidRDefault="00CE17D9" w:rsidP="002977AB">
            <w:pPr>
              <w:rPr>
                <w:b/>
                <w:bCs/>
                <w:color w:val="FFFFFF"/>
              </w:rPr>
            </w:pPr>
          </w:p>
        </w:tc>
      </w:tr>
    </w:tbl>
    <w:p w14:paraId="306DD05C" w14:textId="77777777" w:rsidR="00740F85" w:rsidRDefault="00740F85">
      <w:pPr>
        <w:keepNext/>
        <w:spacing w:line="360" w:lineRule="auto"/>
        <w:ind w:right="-27"/>
        <w:rPr>
          <w:rFonts w:ascii="Arial" w:hAnsi="Arial" w:cs="Arial"/>
          <w:b/>
          <w:bCs/>
          <w:sz w:val="24"/>
          <w:szCs w:val="24"/>
        </w:rPr>
      </w:pPr>
    </w:p>
    <w:p w14:paraId="1141981E" w14:textId="4A8AB493" w:rsidR="007926C2" w:rsidRPr="003C7151" w:rsidRDefault="007926C2" w:rsidP="007926C2">
      <w:pPr>
        <w:rPr>
          <w:rFonts w:asciiTheme="minorHAnsi" w:hAnsiTheme="minorHAnsi" w:cstheme="minorHAnsi"/>
          <w:sz w:val="24"/>
        </w:rPr>
      </w:pPr>
      <w:r w:rsidRPr="003C7151">
        <w:rPr>
          <w:rFonts w:asciiTheme="minorHAnsi" w:hAnsiTheme="minorHAnsi" w:cstheme="minorHAnsi"/>
          <w:sz w:val="24"/>
        </w:rPr>
        <w:t>Il buon livello di partecipazione</w:t>
      </w:r>
      <w:r>
        <w:rPr>
          <w:rFonts w:asciiTheme="minorHAnsi" w:hAnsiTheme="minorHAnsi" w:cstheme="minorHAnsi"/>
          <w:sz w:val="24"/>
        </w:rPr>
        <w:t>, in prevalenza da parte di giovani,</w:t>
      </w:r>
      <w:r w:rsidRPr="003C7151">
        <w:rPr>
          <w:rFonts w:asciiTheme="minorHAnsi" w:hAnsiTheme="minorHAnsi" w:cstheme="minorHAnsi"/>
          <w:sz w:val="24"/>
        </w:rPr>
        <w:t xml:space="preserve"> conferma l’interesse crescente verso i temi europei e indica la necessità di proseguire con ulteriori incontri e attività divulgative.</w:t>
      </w:r>
    </w:p>
    <w:p w14:paraId="3BA680AA" w14:textId="77777777" w:rsidR="00C43E96" w:rsidRDefault="00C43E96" w:rsidP="00933952">
      <w:pPr>
        <w:jc w:val="center"/>
        <w:rPr>
          <w:b/>
          <w:color w:val="17365D" w:themeColor="text2" w:themeShade="BF"/>
          <w:sz w:val="28"/>
          <w:szCs w:val="28"/>
        </w:rPr>
      </w:pPr>
    </w:p>
    <w:p w14:paraId="4D2EACB0" w14:textId="77777777" w:rsidR="005B0BB0" w:rsidRDefault="005B0BB0" w:rsidP="00933952">
      <w:pPr>
        <w:jc w:val="center"/>
        <w:rPr>
          <w:b/>
          <w:color w:val="17365D" w:themeColor="text2" w:themeShade="BF"/>
          <w:sz w:val="28"/>
          <w:szCs w:val="28"/>
        </w:rPr>
      </w:pPr>
    </w:p>
    <w:p w14:paraId="7DA2DD7C" w14:textId="77777777" w:rsidR="00A172DD" w:rsidRPr="00A172DD" w:rsidRDefault="00A172DD" w:rsidP="00A172DD">
      <w:pPr>
        <w:jc w:val="center"/>
        <w:rPr>
          <w:b/>
          <w:color w:val="006699"/>
          <w:sz w:val="33"/>
          <w:szCs w:val="33"/>
        </w:rPr>
      </w:pPr>
      <w:r w:rsidRPr="00A172DD">
        <w:rPr>
          <w:b/>
          <w:color w:val="006699"/>
          <w:sz w:val="33"/>
          <w:szCs w:val="33"/>
        </w:rPr>
        <w:t xml:space="preserve">Iniziativa realizzata in collaborazione con (altre reti </w:t>
      </w:r>
      <w:proofErr w:type="gramStart"/>
      <w:r w:rsidRPr="00A172DD">
        <w:rPr>
          <w:b/>
          <w:color w:val="006699"/>
          <w:sz w:val="33"/>
          <w:szCs w:val="33"/>
        </w:rPr>
        <w:t>e</w:t>
      </w:r>
      <w:proofErr w:type="gramEnd"/>
      <w:r w:rsidRPr="00A172DD">
        <w:rPr>
          <w:b/>
          <w:color w:val="006699"/>
          <w:sz w:val="33"/>
          <w:szCs w:val="33"/>
        </w:rPr>
        <w:t xml:space="preserve"> enti coinvolti)</w:t>
      </w:r>
    </w:p>
    <w:tbl>
      <w:tblPr>
        <w:tblW w:w="0" w:type="auto"/>
        <w:shd w:val="clear" w:color="auto" w:fill="0066FF"/>
        <w:tblLook w:val="04A0" w:firstRow="1" w:lastRow="0" w:firstColumn="1" w:lastColumn="0" w:noHBand="0" w:noVBand="1"/>
      </w:tblPr>
      <w:tblGrid>
        <w:gridCol w:w="9166"/>
        <w:gridCol w:w="236"/>
        <w:gridCol w:w="236"/>
      </w:tblGrid>
      <w:tr w:rsidR="00A172DD" w:rsidRPr="009E1296" w14:paraId="37F78A30" w14:textId="77777777" w:rsidTr="00F21846">
        <w:tc>
          <w:tcPr>
            <w:tcW w:w="9166" w:type="dxa"/>
            <w:shd w:val="clear" w:color="auto" w:fill="009999"/>
          </w:tcPr>
          <w:p w14:paraId="6C17D52E" w14:textId="77777777" w:rsidR="00A172DD" w:rsidRPr="00740F85" w:rsidRDefault="00A172DD" w:rsidP="00F21846">
            <w:pPr>
              <w:suppressAutoHyphens w:val="0"/>
              <w:rPr>
                <w:b/>
                <w:bCs/>
                <w:color w:val="FFFFFF"/>
              </w:rPr>
            </w:pPr>
          </w:p>
        </w:tc>
        <w:tc>
          <w:tcPr>
            <w:tcW w:w="236" w:type="dxa"/>
            <w:shd w:val="clear" w:color="auto" w:fill="009999"/>
          </w:tcPr>
          <w:p w14:paraId="695A3E91" w14:textId="77777777" w:rsidR="00A172DD" w:rsidRPr="00740F85" w:rsidRDefault="00A172DD" w:rsidP="00F21846">
            <w:pPr>
              <w:rPr>
                <w:b/>
                <w:bCs/>
                <w:color w:val="FFFFFF"/>
              </w:rPr>
            </w:pPr>
          </w:p>
        </w:tc>
        <w:tc>
          <w:tcPr>
            <w:tcW w:w="236" w:type="dxa"/>
            <w:shd w:val="clear" w:color="auto" w:fill="009999"/>
          </w:tcPr>
          <w:p w14:paraId="461F406E" w14:textId="77777777" w:rsidR="00A172DD" w:rsidRPr="00740F85" w:rsidRDefault="00A172DD" w:rsidP="00F21846">
            <w:pPr>
              <w:rPr>
                <w:b/>
                <w:bCs/>
                <w:color w:val="FFFFFF"/>
              </w:rPr>
            </w:pPr>
          </w:p>
        </w:tc>
      </w:tr>
    </w:tbl>
    <w:p w14:paraId="2E7D1F31" w14:textId="77777777" w:rsidR="007C489F" w:rsidRDefault="007C489F">
      <w:pPr>
        <w:keepNext/>
        <w:spacing w:line="360" w:lineRule="auto"/>
        <w:ind w:right="-27"/>
        <w:rPr>
          <w:rFonts w:ascii="Arial" w:hAnsi="Arial" w:cs="Arial"/>
          <w:b/>
          <w:bCs/>
          <w:sz w:val="24"/>
          <w:szCs w:val="24"/>
        </w:rPr>
      </w:pPr>
    </w:p>
    <w:p w14:paraId="0348D8DC" w14:textId="62A4DC1E" w:rsidR="005A5514" w:rsidRPr="007926C2" w:rsidRDefault="007926C2" w:rsidP="00C43E96">
      <w:pPr>
        <w:rPr>
          <w:rFonts w:asciiTheme="minorHAnsi" w:hAnsiTheme="minorHAnsi" w:cstheme="minorHAnsi"/>
          <w:sz w:val="24"/>
          <w:szCs w:val="24"/>
        </w:rPr>
      </w:pPr>
      <w:r w:rsidRPr="007926C2">
        <w:rPr>
          <w:rFonts w:asciiTheme="minorHAnsi" w:hAnsiTheme="minorHAnsi" w:cstheme="minorHAnsi"/>
          <w:sz w:val="24"/>
        </w:rPr>
        <w:t>Centro Documentazione Europea TUCEP – Perugia.</w:t>
      </w:r>
    </w:p>
    <w:p w14:paraId="1CB43502" w14:textId="77777777" w:rsidR="00363664" w:rsidRPr="007926C2" w:rsidRDefault="00363664" w:rsidP="00363664">
      <w:pPr>
        <w:pStyle w:val="Default"/>
        <w:rPr>
          <w:rFonts w:asciiTheme="minorHAnsi" w:hAnsiTheme="minorHAnsi" w:cstheme="minorHAnsi"/>
        </w:rPr>
      </w:pPr>
    </w:p>
    <w:p w14:paraId="7F23F144" w14:textId="77777777" w:rsidR="00C43E96" w:rsidRDefault="00C43E96" w:rsidP="00C43E96">
      <w:pPr>
        <w:jc w:val="center"/>
        <w:rPr>
          <w:b/>
          <w:color w:val="17365D" w:themeColor="text2" w:themeShade="BF"/>
          <w:sz w:val="28"/>
          <w:szCs w:val="28"/>
        </w:rPr>
      </w:pPr>
    </w:p>
    <w:p w14:paraId="20EBB48B" w14:textId="77777777" w:rsidR="00C43E96" w:rsidRPr="00A172DD" w:rsidRDefault="00701C5B" w:rsidP="00C43E96">
      <w:pPr>
        <w:jc w:val="center"/>
        <w:rPr>
          <w:b/>
          <w:color w:val="006699"/>
          <w:sz w:val="33"/>
          <w:szCs w:val="33"/>
        </w:rPr>
      </w:pPr>
      <w:r w:rsidRPr="00A172DD">
        <w:rPr>
          <w:b/>
          <w:color w:val="006699"/>
          <w:sz w:val="33"/>
          <w:szCs w:val="33"/>
        </w:rPr>
        <w:t>Valutazione di sintesi</w:t>
      </w:r>
      <w:r w:rsidR="00C43E96" w:rsidRPr="00A172DD">
        <w:rPr>
          <w:b/>
          <w:color w:val="006699"/>
          <w:sz w:val="33"/>
          <w:szCs w:val="33"/>
        </w:rPr>
        <w:t xml:space="preserve"> (giudizio complessivo sul risultato conseguit</w:t>
      </w:r>
      <w:r w:rsidRPr="00A172DD">
        <w:rPr>
          <w:b/>
          <w:color w:val="006699"/>
          <w:sz w:val="33"/>
          <w:szCs w:val="33"/>
        </w:rPr>
        <w:t xml:space="preserve">o e sulle difficoltà incontrate, segnalazione di </w:t>
      </w:r>
      <w:r w:rsidR="00D50407" w:rsidRPr="00A172DD">
        <w:rPr>
          <w:b/>
          <w:color w:val="006699"/>
          <w:sz w:val="33"/>
          <w:szCs w:val="33"/>
        </w:rPr>
        <w:t>e</w:t>
      </w:r>
      <w:r w:rsidR="00C43E96" w:rsidRPr="00A172DD">
        <w:rPr>
          <w:b/>
          <w:color w:val="006699"/>
          <w:sz w:val="33"/>
          <w:szCs w:val="33"/>
        </w:rPr>
        <w:t>ventuali pubblicazioni, materiale messo on-line e</w:t>
      </w:r>
      <w:r w:rsidRPr="00A172DD">
        <w:rPr>
          <w:b/>
          <w:color w:val="006699"/>
          <w:sz w:val="33"/>
          <w:szCs w:val="33"/>
        </w:rPr>
        <w:t xml:space="preserve">/o a disposizione del pubblico o di </w:t>
      </w:r>
      <w:r w:rsidR="00C43E96" w:rsidRPr="00A172DD">
        <w:rPr>
          <w:b/>
          <w:color w:val="006699"/>
          <w:sz w:val="33"/>
          <w:szCs w:val="33"/>
        </w:rPr>
        <w:t>collaborazioni nella realizzazione dell’evento)</w:t>
      </w:r>
    </w:p>
    <w:tbl>
      <w:tblPr>
        <w:tblW w:w="0" w:type="auto"/>
        <w:shd w:val="clear" w:color="auto" w:fill="009999"/>
        <w:tblLook w:val="04A0" w:firstRow="1" w:lastRow="0" w:firstColumn="1" w:lastColumn="0" w:noHBand="0" w:noVBand="1"/>
      </w:tblPr>
      <w:tblGrid>
        <w:gridCol w:w="9402"/>
        <w:gridCol w:w="236"/>
      </w:tblGrid>
      <w:tr w:rsidR="00C43E96" w:rsidRPr="00A172DD" w14:paraId="711A07C8" w14:textId="77777777" w:rsidTr="00A172DD">
        <w:tc>
          <w:tcPr>
            <w:tcW w:w="9402" w:type="dxa"/>
            <w:shd w:val="clear" w:color="auto" w:fill="009999"/>
          </w:tcPr>
          <w:p w14:paraId="0D79EF1F" w14:textId="77777777" w:rsidR="00C43E96" w:rsidRPr="00740F85" w:rsidRDefault="00C43E96" w:rsidP="002977AB">
            <w:pPr>
              <w:suppressAutoHyphens w:val="0"/>
              <w:rPr>
                <w:b/>
                <w:bCs/>
                <w:color w:val="FFFFFF"/>
              </w:rPr>
            </w:pPr>
          </w:p>
        </w:tc>
        <w:tc>
          <w:tcPr>
            <w:tcW w:w="236" w:type="dxa"/>
            <w:shd w:val="clear" w:color="auto" w:fill="009999"/>
          </w:tcPr>
          <w:p w14:paraId="19D73BB3" w14:textId="77777777" w:rsidR="00C43E96" w:rsidRPr="00740F85" w:rsidRDefault="00C43E96" w:rsidP="00A172DD">
            <w:pPr>
              <w:suppressAutoHyphens w:val="0"/>
              <w:rPr>
                <w:b/>
                <w:bCs/>
                <w:color w:val="FFFFFF"/>
              </w:rPr>
            </w:pPr>
          </w:p>
        </w:tc>
      </w:tr>
    </w:tbl>
    <w:p w14:paraId="0EA987FC" w14:textId="77777777" w:rsidR="00C43E96" w:rsidRDefault="00C43E96" w:rsidP="00C43E96">
      <w:pPr>
        <w:rPr>
          <w:rFonts w:ascii="Arial" w:hAnsi="Arial" w:cs="Arial"/>
          <w:sz w:val="24"/>
        </w:rPr>
      </w:pPr>
    </w:p>
    <w:p w14:paraId="172BC9F6" w14:textId="77777777" w:rsidR="006E29CE" w:rsidRPr="006E29CE" w:rsidRDefault="006E29CE" w:rsidP="006E29CE">
      <w:pPr>
        <w:numPr>
          <w:ilvl w:val="0"/>
          <w:numId w:val="10"/>
        </w:numPr>
        <w:rPr>
          <w:rFonts w:asciiTheme="minorHAnsi" w:hAnsiTheme="minorHAnsi" w:cstheme="minorHAnsi"/>
          <w:b/>
          <w:bCs/>
          <w:sz w:val="24"/>
        </w:rPr>
      </w:pPr>
      <w:r w:rsidRPr="006E29CE">
        <w:rPr>
          <w:rFonts w:asciiTheme="minorHAnsi" w:hAnsiTheme="minorHAnsi" w:cstheme="minorHAnsi"/>
          <w:b/>
          <w:bCs/>
          <w:sz w:val="24"/>
        </w:rPr>
        <w:t>Valutazione di sintesi</w:t>
      </w:r>
    </w:p>
    <w:p w14:paraId="05EF8EF4" w14:textId="77777777" w:rsidR="006E29CE" w:rsidRPr="006E29CE" w:rsidRDefault="006E29CE" w:rsidP="006E29CE">
      <w:pPr>
        <w:rPr>
          <w:rFonts w:asciiTheme="minorHAnsi" w:hAnsiTheme="minorHAnsi" w:cstheme="minorHAnsi"/>
          <w:sz w:val="24"/>
        </w:rPr>
      </w:pPr>
      <w:r w:rsidRPr="006E29CE">
        <w:rPr>
          <w:rFonts w:asciiTheme="minorHAnsi" w:hAnsiTheme="minorHAnsi" w:cstheme="minorHAnsi"/>
          <w:sz w:val="24"/>
        </w:rPr>
        <w:t xml:space="preserve">La realizzazione del seminario </w:t>
      </w:r>
      <w:r w:rsidRPr="006E29CE">
        <w:rPr>
          <w:rFonts w:asciiTheme="minorHAnsi" w:hAnsiTheme="minorHAnsi" w:cstheme="minorHAnsi"/>
          <w:i/>
          <w:iCs/>
          <w:sz w:val="24"/>
        </w:rPr>
        <w:t>“I cittadini e le priorità della Commissione europea 2024-2029”</w:t>
      </w:r>
      <w:r w:rsidRPr="006E29CE">
        <w:rPr>
          <w:rFonts w:asciiTheme="minorHAnsi" w:hAnsiTheme="minorHAnsi" w:cstheme="minorHAnsi"/>
          <w:sz w:val="24"/>
        </w:rPr>
        <w:t xml:space="preserve"> può essere considerata complessivamente positiva sia in termini di partecipazione sia per la qualità del dibattito. L’iniziativa ha raggiunto l’obiettivo principale: stimolare una riflessione concreta sulla distanza informativa tra istituzioni europee e cittadini e promuovere un confronto diretto tra operatori dei media, rappresentanti istituzionali ed esperti del settore.</w:t>
      </w:r>
    </w:p>
    <w:p w14:paraId="524BDD0A" w14:textId="77777777" w:rsidR="006E29CE" w:rsidRPr="006E29CE" w:rsidRDefault="006E29CE" w:rsidP="006E29CE">
      <w:pPr>
        <w:numPr>
          <w:ilvl w:val="0"/>
          <w:numId w:val="10"/>
        </w:numPr>
        <w:rPr>
          <w:rFonts w:asciiTheme="minorHAnsi" w:hAnsiTheme="minorHAnsi" w:cstheme="minorHAnsi"/>
          <w:b/>
          <w:bCs/>
          <w:sz w:val="24"/>
        </w:rPr>
      </w:pPr>
      <w:r w:rsidRPr="006E29CE">
        <w:rPr>
          <w:rFonts w:asciiTheme="minorHAnsi" w:hAnsiTheme="minorHAnsi" w:cstheme="minorHAnsi"/>
          <w:b/>
          <w:bCs/>
          <w:sz w:val="24"/>
        </w:rPr>
        <w:t>Risultati conseguiti</w:t>
      </w:r>
    </w:p>
    <w:p w14:paraId="436B9D87" w14:textId="77777777" w:rsidR="006E29CE" w:rsidRPr="006E29CE" w:rsidRDefault="006E29CE" w:rsidP="006E29CE">
      <w:pPr>
        <w:numPr>
          <w:ilvl w:val="0"/>
          <w:numId w:val="10"/>
        </w:numPr>
        <w:rPr>
          <w:rFonts w:asciiTheme="minorHAnsi" w:hAnsiTheme="minorHAnsi" w:cstheme="minorHAnsi"/>
          <w:sz w:val="24"/>
        </w:rPr>
      </w:pPr>
      <w:r w:rsidRPr="006E29CE">
        <w:rPr>
          <w:rFonts w:asciiTheme="minorHAnsi" w:hAnsiTheme="minorHAnsi" w:cstheme="minorHAnsi"/>
          <w:sz w:val="24"/>
        </w:rPr>
        <w:t>È stato avviato un dialogo costruttivo sulle principali criticità della comunicazione europea, grazie agli interventi di giornalisti ed esperti qualificati.</w:t>
      </w:r>
    </w:p>
    <w:p w14:paraId="1287162B" w14:textId="77777777" w:rsidR="006E29CE" w:rsidRPr="006E29CE" w:rsidRDefault="006E29CE" w:rsidP="006E29CE">
      <w:pPr>
        <w:numPr>
          <w:ilvl w:val="0"/>
          <w:numId w:val="10"/>
        </w:numPr>
        <w:rPr>
          <w:rFonts w:asciiTheme="minorHAnsi" w:hAnsiTheme="minorHAnsi" w:cstheme="minorHAnsi"/>
          <w:sz w:val="24"/>
        </w:rPr>
      </w:pPr>
      <w:r w:rsidRPr="006E29CE">
        <w:rPr>
          <w:rFonts w:asciiTheme="minorHAnsi" w:hAnsiTheme="minorHAnsi" w:cstheme="minorHAnsi"/>
          <w:sz w:val="24"/>
        </w:rPr>
        <w:t>Il pubblico presente ha mostrato interesse e partecipazione attiva, contribuendo a evidenziare esigenze reali di maggiore trasparenza e accessibilità delle informazioni sull’UE.</w:t>
      </w:r>
    </w:p>
    <w:p w14:paraId="636A2618" w14:textId="77777777" w:rsidR="006E29CE" w:rsidRPr="006E29CE" w:rsidRDefault="006E29CE" w:rsidP="006E29CE">
      <w:pPr>
        <w:numPr>
          <w:ilvl w:val="0"/>
          <w:numId w:val="10"/>
        </w:numPr>
        <w:rPr>
          <w:rFonts w:asciiTheme="minorHAnsi" w:hAnsiTheme="minorHAnsi" w:cstheme="minorHAnsi"/>
          <w:sz w:val="24"/>
        </w:rPr>
      </w:pPr>
      <w:r w:rsidRPr="006E29CE">
        <w:rPr>
          <w:rFonts w:asciiTheme="minorHAnsi" w:hAnsiTheme="minorHAnsi" w:cstheme="minorHAnsi"/>
          <w:sz w:val="24"/>
        </w:rPr>
        <w:t>L’evento ha rafforzato il ruolo del Centro di Documentazione Europea dell’Università degli Studi di Perugia come punto di riferimento per la divulgazione delle politiche europee.</w:t>
      </w:r>
    </w:p>
    <w:p w14:paraId="7A444294" w14:textId="77777777" w:rsidR="006E29CE" w:rsidRPr="006E29CE" w:rsidRDefault="006E29CE" w:rsidP="006E29CE">
      <w:pPr>
        <w:numPr>
          <w:ilvl w:val="0"/>
          <w:numId w:val="10"/>
        </w:numPr>
        <w:rPr>
          <w:rFonts w:asciiTheme="minorHAnsi" w:hAnsiTheme="minorHAnsi" w:cstheme="minorHAnsi"/>
          <w:sz w:val="24"/>
        </w:rPr>
      </w:pPr>
      <w:r w:rsidRPr="006E29CE">
        <w:rPr>
          <w:rFonts w:asciiTheme="minorHAnsi" w:hAnsiTheme="minorHAnsi" w:cstheme="minorHAnsi"/>
          <w:sz w:val="24"/>
        </w:rPr>
        <w:t xml:space="preserve">Nell’ambito dell’iniziativa è stato inoltre pubblicato dal prof. Fabio Raspadori un opuscolo di 16 pagine dal titolo </w:t>
      </w:r>
      <w:r w:rsidRPr="006E29CE">
        <w:rPr>
          <w:rFonts w:asciiTheme="minorHAnsi" w:hAnsiTheme="minorHAnsi" w:cstheme="minorHAnsi"/>
          <w:b/>
          <w:bCs/>
          <w:sz w:val="24"/>
        </w:rPr>
        <w:t>“I cittadini e le priorità della Commissione Europea”</w:t>
      </w:r>
      <w:r w:rsidRPr="006E29CE">
        <w:rPr>
          <w:rFonts w:asciiTheme="minorHAnsi" w:hAnsiTheme="minorHAnsi" w:cstheme="minorHAnsi"/>
          <w:sz w:val="24"/>
        </w:rPr>
        <w:t>, reso disponibile online per la consultazione pubblica.</w:t>
      </w:r>
    </w:p>
    <w:p w14:paraId="27BB1C22" w14:textId="77777777" w:rsidR="006E29CE" w:rsidRPr="006E29CE" w:rsidRDefault="006E29CE" w:rsidP="006E29CE">
      <w:pPr>
        <w:numPr>
          <w:ilvl w:val="0"/>
          <w:numId w:val="10"/>
        </w:numPr>
        <w:rPr>
          <w:rFonts w:asciiTheme="minorHAnsi" w:hAnsiTheme="minorHAnsi" w:cstheme="minorHAnsi"/>
          <w:b/>
          <w:bCs/>
          <w:sz w:val="24"/>
        </w:rPr>
      </w:pPr>
      <w:r w:rsidRPr="006E29CE">
        <w:rPr>
          <w:rFonts w:asciiTheme="minorHAnsi" w:hAnsiTheme="minorHAnsi" w:cstheme="minorHAnsi"/>
          <w:b/>
          <w:bCs/>
          <w:sz w:val="24"/>
        </w:rPr>
        <w:t>Difficoltà incontrate</w:t>
      </w:r>
    </w:p>
    <w:p w14:paraId="5032FB46" w14:textId="77777777" w:rsidR="006E29CE" w:rsidRPr="006E29CE" w:rsidRDefault="006E29CE" w:rsidP="006E29CE">
      <w:pPr>
        <w:numPr>
          <w:ilvl w:val="0"/>
          <w:numId w:val="11"/>
        </w:numPr>
        <w:rPr>
          <w:rFonts w:asciiTheme="minorHAnsi" w:hAnsiTheme="minorHAnsi" w:cstheme="minorHAnsi"/>
          <w:sz w:val="24"/>
        </w:rPr>
      </w:pPr>
      <w:r w:rsidRPr="006E29CE">
        <w:rPr>
          <w:rFonts w:asciiTheme="minorHAnsi" w:hAnsiTheme="minorHAnsi" w:cstheme="minorHAnsi"/>
          <w:sz w:val="24"/>
        </w:rPr>
        <w:t>La promozione ha risentito di un arco temporale limitato, riducendo la possibilità di coinvolgere un pubblico più ampio.</w:t>
      </w:r>
    </w:p>
    <w:p w14:paraId="4EDE8BBD" w14:textId="77777777" w:rsidR="006E29CE" w:rsidRPr="006E29CE" w:rsidRDefault="006E29CE" w:rsidP="006E29CE">
      <w:pPr>
        <w:numPr>
          <w:ilvl w:val="0"/>
          <w:numId w:val="11"/>
        </w:numPr>
        <w:rPr>
          <w:rFonts w:asciiTheme="minorHAnsi" w:hAnsiTheme="minorHAnsi" w:cstheme="minorHAnsi"/>
          <w:sz w:val="24"/>
        </w:rPr>
      </w:pPr>
      <w:r w:rsidRPr="006E29CE">
        <w:rPr>
          <w:rFonts w:asciiTheme="minorHAnsi" w:hAnsiTheme="minorHAnsi" w:cstheme="minorHAnsi"/>
          <w:sz w:val="24"/>
        </w:rPr>
        <w:t>La natura tecnica dei temi trattati ha richiesto un notevole sforzo di semplificazione e mediazione da parte dei relatori.</w:t>
      </w:r>
    </w:p>
    <w:p w14:paraId="4AA3AD4C" w14:textId="77777777" w:rsidR="006E29CE" w:rsidRPr="006E29CE" w:rsidRDefault="006E29CE" w:rsidP="006E29CE">
      <w:pPr>
        <w:numPr>
          <w:ilvl w:val="0"/>
          <w:numId w:val="11"/>
        </w:numPr>
        <w:rPr>
          <w:rFonts w:asciiTheme="minorHAnsi" w:hAnsiTheme="minorHAnsi" w:cstheme="minorHAnsi"/>
          <w:sz w:val="24"/>
        </w:rPr>
      </w:pPr>
      <w:r w:rsidRPr="006E29CE">
        <w:rPr>
          <w:rFonts w:asciiTheme="minorHAnsi" w:hAnsiTheme="minorHAnsi" w:cstheme="minorHAnsi"/>
          <w:sz w:val="24"/>
        </w:rPr>
        <w:t>Gli impegni istituzionali e professionali dei partecipanti hanno richiesto un’attenta pianificazione delle tempistiche organizzative.</w:t>
      </w:r>
    </w:p>
    <w:p w14:paraId="043C1C12" w14:textId="77777777" w:rsidR="006E29CE" w:rsidRPr="006E29CE" w:rsidRDefault="006E29CE" w:rsidP="006E29CE">
      <w:pPr>
        <w:numPr>
          <w:ilvl w:val="0"/>
          <w:numId w:val="10"/>
        </w:numPr>
        <w:rPr>
          <w:rFonts w:asciiTheme="minorHAnsi" w:hAnsiTheme="minorHAnsi" w:cstheme="minorHAnsi"/>
          <w:b/>
          <w:bCs/>
          <w:sz w:val="24"/>
        </w:rPr>
      </w:pPr>
      <w:r w:rsidRPr="006E29CE">
        <w:rPr>
          <w:rFonts w:asciiTheme="minorHAnsi" w:hAnsiTheme="minorHAnsi" w:cstheme="minorHAnsi"/>
          <w:b/>
          <w:bCs/>
          <w:sz w:val="24"/>
        </w:rPr>
        <w:t>Materiali messi a disposizione</w:t>
      </w:r>
    </w:p>
    <w:p w14:paraId="110DA1C1" w14:textId="77777777" w:rsidR="006E29CE" w:rsidRPr="006E29CE" w:rsidRDefault="006E29CE" w:rsidP="006E29CE">
      <w:pPr>
        <w:numPr>
          <w:ilvl w:val="0"/>
          <w:numId w:val="12"/>
        </w:numPr>
        <w:rPr>
          <w:rFonts w:asciiTheme="minorHAnsi" w:hAnsiTheme="minorHAnsi" w:cstheme="minorHAnsi"/>
          <w:sz w:val="24"/>
        </w:rPr>
      </w:pPr>
      <w:r w:rsidRPr="006E29CE">
        <w:rPr>
          <w:rFonts w:asciiTheme="minorHAnsi" w:hAnsiTheme="minorHAnsi" w:cstheme="minorHAnsi"/>
          <w:sz w:val="24"/>
        </w:rPr>
        <w:t>Locandina e programma dell’evento pubblicati sui canali istituzionali del CDE e dell’Università.</w:t>
      </w:r>
    </w:p>
    <w:p w14:paraId="3908030E" w14:textId="77777777" w:rsidR="006E29CE" w:rsidRPr="006E29CE" w:rsidRDefault="006E29CE" w:rsidP="006E29CE">
      <w:pPr>
        <w:numPr>
          <w:ilvl w:val="0"/>
          <w:numId w:val="12"/>
        </w:numPr>
        <w:rPr>
          <w:rFonts w:asciiTheme="minorHAnsi" w:hAnsiTheme="minorHAnsi" w:cstheme="minorHAnsi"/>
          <w:sz w:val="24"/>
        </w:rPr>
      </w:pPr>
      <w:r w:rsidRPr="006E29CE">
        <w:rPr>
          <w:rFonts w:asciiTheme="minorHAnsi" w:hAnsiTheme="minorHAnsi" w:cstheme="minorHAnsi"/>
          <w:sz w:val="24"/>
        </w:rPr>
        <w:lastRenderedPageBreak/>
        <w:t xml:space="preserve">Pubblicazione dell’opuscolo di 16 pagine </w:t>
      </w:r>
      <w:r w:rsidRPr="006E29CE">
        <w:rPr>
          <w:rFonts w:asciiTheme="minorHAnsi" w:hAnsiTheme="minorHAnsi" w:cstheme="minorHAnsi"/>
          <w:i/>
          <w:iCs/>
          <w:sz w:val="24"/>
        </w:rPr>
        <w:t>“</w:t>
      </w:r>
      <w:r w:rsidRPr="006E29CE">
        <w:rPr>
          <w:rFonts w:asciiTheme="minorHAnsi" w:hAnsiTheme="minorHAnsi" w:cstheme="minorHAnsi"/>
          <w:b/>
          <w:bCs/>
          <w:i/>
          <w:iCs/>
          <w:sz w:val="24"/>
        </w:rPr>
        <w:t>I cittadini e le priorità della Commissione Europea</w:t>
      </w:r>
      <w:r w:rsidRPr="006E29CE">
        <w:rPr>
          <w:rFonts w:asciiTheme="minorHAnsi" w:hAnsiTheme="minorHAnsi" w:cstheme="minorHAnsi"/>
          <w:i/>
          <w:iCs/>
          <w:sz w:val="24"/>
        </w:rPr>
        <w:t>”</w:t>
      </w:r>
      <w:r w:rsidRPr="006E29CE">
        <w:rPr>
          <w:rFonts w:asciiTheme="minorHAnsi" w:hAnsiTheme="minorHAnsi" w:cstheme="minorHAnsi"/>
          <w:sz w:val="24"/>
        </w:rPr>
        <w:t xml:space="preserve"> a cura del prof. Raspadori, accessibile sul sito del CDE.</w:t>
      </w:r>
    </w:p>
    <w:p w14:paraId="1498CB75" w14:textId="77777777" w:rsidR="006E29CE" w:rsidRPr="006E29CE" w:rsidRDefault="006E29CE" w:rsidP="006E29CE">
      <w:pPr>
        <w:numPr>
          <w:ilvl w:val="0"/>
          <w:numId w:val="10"/>
        </w:numPr>
        <w:rPr>
          <w:rFonts w:asciiTheme="minorHAnsi" w:hAnsiTheme="minorHAnsi" w:cstheme="minorHAnsi"/>
          <w:b/>
          <w:bCs/>
          <w:sz w:val="24"/>
        </w:rPr>
      </w:pPr>
      <w:r w:rsidRPr="006E29CE">
        <w:rPr>
          <w:rFonts w:asciiTheme="minorHAnsi" w:hAnsiTheme="minorHAnsi" w:cstheme="minorHAnsi"/>
          <w:b/>
          <w:bCs/>
          <w:sz w:val="24"/>
        </w:rPr>
        <w:t>Collaborazioni nella realizzazione</w:t>
      </w:r>
    </w:p>
    <w:p w14:paraId="44C1F50F" w14:textId="77777777" w:rsidR="006E29CE" w:rsidRPr="006E29CE" w:rsidRDefault="006E29CE" w:rsidP="006E29CE">
      <w:pPr>
        <w:rPr>
          <w:rFonts w:asciiTheme="minorHAnsi" w:hAnsiTheme="minorHAnsi" w:cstheme="minorHAnsi"/>
          <w:sz w:val="24"/>
        </w:rPr>
      </w:pPr>
      <w:r w:rsidRPr="006E29CE">
        <w:rPr>
          <w:rFonts w:asciiTheme="minorHAnsi" w:hAnsiTheme="minorHAnsi" w:cstheme="minorHAnsi"/>
          <w:sz w:val="24"/>
        </w:rPr>
        <w:t>L’iniziativa è stata organizzata grazie alla collaborazione tra:</w:t>
      </w:r>
    </w:p>
    <w:p w14:paraId="5FE32B12" w14:textId="77777777" w:rsidR="006E29CE" w:rsidRPr="006E29CE" w:rsidRDefault="006E29CE" w:rsidP="006E29CE">
      <w:pPr>
        <w:numPr>
          <w:ilvl w:val="0"/>
          <w:numId w:val="13"/>
        </w:numPr>
        <w:rPr>
          <w:rFonts w:asciiTheme="minorHAnsi" w:hAnsiTheme="minorHAnsi" w:cstheme="minorHAnsi"/>
          <w:sz w:val="24"/>
        </w:rPr>
      </w:pPr>
      <w:r w:rsidRPr="006E29CE">
        <w:rPr>
          <w:rFonts w:asciiTheme="minorHAnsi" w:hAnsiTheme="minorHAnsi" w:cstheme="minorHAnsi"/>
          <w:sz w:val="24"/>
        </w:rPr>
        <w:t>il Centro di Documentazione Europea (CDE) dell’Università degli Studi di Perugia;</w:t>
      </w:r>
    </w:p>
    <w:p w14:paraId="28F83D96" w14:textId="77777777" w:rsidR="006E29CE" w:rsidRPr="006E29CE" w:rsidRDefault="006E29CE" w:rsidP="006E29CE">
      <w:pPr>
        <w:numPr>
          <w:ilvl w:val="0"/>
          <w:numId w:val="13"/>
        </w:numPr>
        <w:rPr>
          <w:rFonts w:asciiTheme="minorHAnsi" w:hAnsiTheme="minorHAnsi" w:cstheme="minorHAnsi"/>
          <w:sz w:val="24"/>
        </w:rPr>
      </w:pPr>
      <w:r w:rsidRPr="006E29CE">
        <w:rPr>
          <w:rFonts w:asciiTheme="minorHAnsi" w:hAnsiTheme="minorHAnsi" w:cstheme="minorHAnsi"/>
          <w:sz w:val="24"/>
        </w:rPr>
        <w:t>il Consiglio Regionale dell’Umbria, che ha ospitato l’evento;</w:t>
      </w:r>
    </w:p>
    <w:p w14:paraId="565F7A7C" w14:textId="77777777" w:rsidR="006E29CE" w:rsidRPr="006E29CE" w:rsidRDefault="006E29CE" w:rsidP="006E29CE">
      <w:pPr>
        <w:numPr>
          <w:ilvl w:val="0"/>
          <w:numId w:val="13"/>
        </w:numPr>
        <w:rPr>
          <w:rFonts w:asciiTheme="minorHAnsi" w:hAnsiTheme="minorHAnsi" w:cstheme="minorHAnsi"/>
          <w:sz w:val="24"/>
        </w:rPr>
      </w:pPr>
      <w:r w:rsidRPr="006E29CE">
        <w:rPr>
          <w:rFonts w:asciiTheme="minorHAnsi" w:hAnsiTheme="minorHAnsi" w:cstheme="minorHAnsi"/>
          <w:sz w:val="24"/>
        </w:rPr>
        <w:t>giornalisti, esperti di comunicazione istituzionale e rappresentanti del Parlamento europeo.</w:t>
      </w:r>
    </w:p>
    <w:p w14:paraId="27EABC78" w14:textId="77777777" w:rsidR="006E29CE" w:rsidRPr="006E29CE" w:rsidRDefault="006E29CE" w:rsidP="006E29CE">
      <w:pPr>
        <w:rPr>
          <w:rFonts w:asciiTheme="minorHAnsi" w:hAnsiTheme="minorHAnsi" w:cstheme="minorHAnsi"/>
          <w:sz w:val="24"/>
        </w:rPr>
      </w:pPr>
      <w:r w:rsidRPr="006E29CE">
        <w:rPr>
          <w:rFonts w:asciiTheme="minorHAnsi" w:hAnsiTheme="minorHAnsi" w:cstheme="minorHAnsi"/>
          <w:sz w:val="24"/>
        </w:rPr>
        <w:t>La cooperazione tra istituzioni accademiche, realtà territoriali e professionisti della comunicazione ha reso possibile un’iniziativa efficace, utile a rafforzare la conoscenza e la comprensione delle politiche dell’Unione europea da parte dei cittadini.</w:t>
      </w:r>
    </w:p>
    <w:p w14:paraId="42FC5369" w14:textId="77777777" w:rsidR="007C489F" w:rsidRPr="006E29CE" w:rsidRDefault="007C489F" w:rsidP="006E29CE">
      <w:pPr>
        <w:rPr>
          <w:rFonts w:asciiTheme="minorHAnsi" w:hAnsiTheme="minorHAnsi" w:cstheme="minorHAnsi"/>
        </w:rPr>
      </w:pPr>
    </w:p>
    <w:sectPr w:rsidR="007C489F" w:rsidRPr="006E29CE">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8027" w14:textId="77777777" w:rsidR="00461F94" w:rsidRDefault="00461F94">
      <w:r>
        <w:separator/>
      </w:r>
    </w:p>
  </w:endnote>
  <w:endnote w:type="continuationSeparator" w:id="0">
    <w:p w14:paraId="0A12BA9F" w14:textId="77777777" w:rsidR="00461F94" w:rsidRDefault="0046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4193" w14:textId="77777777" w:rsidR="00491F45" w:rsidRDefault="00491F4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F1C6" w14:textId="77777777" w:rsidR="002D7CC3" w:rsidRDefault="00FB0C59">
    <w:pPr>
      <w:pStyle w:val="Pidipagina"/>
    </w:pPr>
    <w:r>
      <w:rPr>
        <w:noProof/>
        <w:lang w:eastAsia="it-IT"/>
      </w:rPr>
      <mc:AlternateContent>
        <mc:Choice Requires="wps">
          <w:drawing>
            <wp:anchor distT="0" distB="0" distL="0" distR="0" simplePos="0" relativeHeight="251658240" behindDoc="0" locked="0" layoutInCell="1" allowOverlap="1" wp14:anchorId="28645AF3" wp14:editId="2D01F272">
              <wp:simplePos x="0" y="0"/>
              <wp:positionH relativeFrom="margin">
                <wp:align>center</wp:align>
              </wp:positionH>
              <wp:positionV relativeFrom="paragraph">
                <wp:posOffset>635</wp:posOffset>
              </wp:positionV>
              <wp:extent cx="63500" cy="146050"/>
              <wp:effectExtent l="0" t="0" r="0" b="0"/>
              <wp:wrapSquare wrapText="largest"/>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D2040" w14:textId="2B4C7558" w:rsidR="002D7CC3" w:rsidRDefault="002D7CC3">
                          <w:pPr>
                            <w:pStyle w:val="Pidipagina"/>
                          </w:pPr>
                          <w:r>
                            <w:rPr>
                              <w:rStyle w:val="Numeropagina"/>
                            </w:rPr>
                            <w:fldChar w:fldCharType="begin"/>
                          </w:r>
                          <w:r>
                            <w:rPr>
                              <w:rStyle w:val="Numeropagina"/>
                            </w:rPr>
                            <w:instrText xml:space="preserve"> PAGE </w:instrText>
                          </w:r>
                          <w:r>
                            <w:rPr>
                              <w:rStyle w:val="Numeropagina"/>
                            </w:rPr>
                            <w:fldChar w:fldCharType="separate"/>
                          </w:r>
                          <w:r w:rsidR="00E6629B">
                            <w:rPr>
                              <w:rStyle w:val="Numeropagina"/>
                              <w:noProof/>
                            </w:rPr>
                            <w:t>4</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45AF3" id="_x0000_t202" coordsize="21600,21600" o:spt="202" path="m,l,21600r21600,l21600,xe">
              <v:stroke joinstyle="miter"/>
              <v:path gradientshapeok="t" o:connecttype="rect"/>
            </v:shapetype>
            <v:shape id="Text Box 1"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VTqpzXAAAAAwEAAA8AAABkcnMvZG93bnJl&#10;di54bWxMj8FuwjAQRO+V+AdrkXorDkFqaZoNAip6rZpW4mriJY4Sr6PYQPj7Oqf2ODurmTf5ZrSd&#10;uNLgG8cIy0UCgrhyuuEa4ef78LQG4YNirTrHhHAnD5ti9pCrTLsbf9G1DLWIIewzhWBC6DMpfWXI&#10;Kr9wPXH0zm6wKkQ51FIP6hbDbSfTJHmWVjUcG4zqaW+oasuLRVh9pi9H/1G+7/sjvbZrv2vPbBAf&#10;5+P2DUSgMfw9w4Qf0aGITCd3Ye1FhxCHhOkqJi+J6oSQrpYgi1z+Zy9+AQAA//8DAFBLAQItABQA&#10;BgAIAAAAIQC2gziS/gAAAOEBAAATAAAAAAAAAAAAAAAAAAAAAABbQ29udGVudF9UeXBlc10ueG1s&#10;UEsBAi0AFAAGAAgAAAAhADj9If/WAAAAlAEAAAsAAAAAAAAAAAAAAAAALwEAAF9yZWxzLy5yZWxz&#10;UEsBAi0AFAAGAAgAAAAhACFbcdXyAQAA1QMAAA4AAAAAAAAAAAAAAAAALgIAAGRycy9lMm9Eb2Mu&#10;eG1sUEsBAi0AFAAGAAgAAAAhABVTqpzXAAAAAwEAAA8AAAAAAAAAAAAAAAAATAQAAGRycy9kb3du&#10;cmV2LnhtbFBLBQYAAAAABAAEAPMAAABQBQAAAAA=&#10;" stroked="f">
              <v:fill opacity="0"/>
              <v:textbox inset="0,0,0,0">
                <w:txbxContent>
                  <w:p w14:paraId="609D2040" w14:textId="2B4C7558" w:rsidR="002D7CC3" w:rsidRDefault="002D7CC3">
                    <w:pPr>
                      <w:pStyle w:val="Pidipagina"/>
                    </w:pPr>
                    <w:r>
                      <w:rPr>
                        <w:rStyle w:val="Numeropagina"/>
                      </w:rPr>
                      <w:fldChar w:fldCharType="begin"/>
                    </w:r>
                    <w:r>
                      <w:rPr>
                        <w:rStyle w:val="Numeropagina"/>
                      </w:rPr>
                      <w:instrText xml:space="preserve"> PAGE </w:instrText>
                    </w:r>
                    <w:r>
                      <w:rPr>
                        <w:rStyle w:val="Numeropagina"/>
                      </w:rPr>
                      <w:fldChar w:fldCharType="separate"/>
                    </w:r>
                    <w:r w:rsidR="00E6629B">
                      <w:rPr>
                        <w:rStyle w:val="Numeropagina"/>
                        <w:noProof/>
                      </w:rPr>
                      <w:t>4</w:t>
                    </w:r>
                    <w:r>
                      <w:rPr>
                        <w:rStyle w:val="Numeropagina"/>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8D86" w14:textId="77777777" w:rsidR="00491F45" w:rsidRDefault="00491F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A370B" w14:textId="77777777" w:rsidR="00461F94" w:rsidRDefault="00461F94">
      <w:r>
        <w:separator/>
      </w:r>
    </w:p>
  </w:footnote>
  <w:footnote w:type="continuationSeparator" w:id="0">
    <w:p w14:paraId="044ABF31" w14:textId="77777777" w:rsidR="00461F94" w:rsidRDefault="0046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259" w14:textId="77777777" w:rsidR="00491F45" w:rsidRDefault="00491F4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40D9" w14:textId="77777777" w:rsidR="00491F45" w:rsidRDefault="00491F4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EC8F" w14:textId="77777777" w:rsidR="00491F45" w:rsidRDefault="00491F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rPr>
        <w:rFonts w:cs="Times New Roman"/>
      </w:rPr>
    </w:lvl>
    <w:lvl w:ilvl="1">
      <w:start w:val="1"/>
      <w:numFmt w:val="none"/>
      <w:pStyle w:val="Titolo2"/>
      <w:suff w:val="nothing"/>
      <w:lvlText w:val=""/>
      <w:lvlJc w:val="left"/>
      <w:pPr>
        <w:tabs>
          <w:tab w:val="num" w:pos="576"/>
        </w:tabs>
        <w:ind w:left="576" w:hanging="576"/>
      </w:pPr>
      <w:rPr>
        <w:rFonts w:cs="Times New Roman"/>
      </w:rPr>
    </w:lvl>
    <w:lvl w:ilvl="2">
      <w:start w:val="1"/>
      <w:numFmt w:val="none"/>
      <w:pStyle w:val="Titolo3"/>
      <w:suff w:val="nothing"/>
      <w:lvlText w:val=""/>
      <w:lvlJc w:val="left"/>
      <w:pPr>
        <w:tabs>
          <w:tab w:val="num" w:pos="720"/>
        </w:tabs>
        <w:ind w:left="720" w:hanging="720"/>
      </w:pPr>
      <w:rPr>
        <w:rFonts w:cs="Times New Roman"/>
      </w:rPr>
    </w:lvl>
    <w:lvl w:ilvl="3">
      <w:start w:val="1"/>
      <w:numFmt w:val="none"/>
      <w:pStyle w:val="Titolo4"/>
      <w:suff w:val="nothing"/>
      <w:lvlText w:val=""/>
      <w:lvlJc w:val="left"/>
      <w:pPr>
        <w:tabs>
          <w:tab w:val="num" w:pos="864"/>
        </w:tabs>
        <w:ind w:left="864" w:hanging="864"/>
      </w:pPr>
      <w:rPr>
        <w:rFonts w:cs="Times New Roman"/>
      </w:rPr>
    </w:lvl>
    <w:lvl w:ilvl="4">
      <w:start w:val="1"/>
      <w:numFmt w:val="none"/>
      <w:pStyle w:val="Titolo5"/>
      <w:suff w:val="nothing"/>
      <w:lvlText w:val=""/>
      <w:lvlJc w:val="left"/>
      <w:pPr>
        <w:tabs>
          <w:tab w:val="num" w:pos="1008"/>
        </w:tabs>
        <w:ind w:left="1008" w:hanging="1008"/>
      </w:pPr>
      <w:rPr>
        <w:rFonts w:cs="Times New Roman"/>
      </w:rPr>
    </w:lvl>
    <w:lvl w:ilvl="5">
      <w:start w:val="1"/>
      <w:numFmt w:val="none"/>
      <w:pStyle w:val="Titolo6"/>
      <w:suff w:val="nothing"/>
      <w:lvlText w:val=""/>
      <w:lvlJc w:val="left"/>
      <w:pPr>
        <w:tabs>
          <w:tab w:val="num" w:pos="1152"/>
        </w:tabs>
        <w:ind w:left="1152" w:hanging="1152"/>
      </w:pPr>
      <w:rPr>
        <w:rFonts w:cs="Times New Roman"/>
      </w:rPr>
    </w:lvl>
    <w:lvl w:ilvl="6">
      <w:start w:val="1"/>
      <w:numFmt w:val="none"/>
      <w:pStyle w:val="Titolo7"/>
      <w:suff w:val="nothing"/>
      <w:lvlText w:val=""/>
      <w:lvlJc w:val="left"/>
      <w:pPr>
        <w:tabs>
          <w:tab w:val="num" w:pos="1296"/>
        </w:tabs>
        <w:ind w:left="1296" w:hanging="1296"/>
      </w:pPr>
      <w:rPr>
        <w:rFonts w:cs="Times New Roman"/>
      </w:rPr>
    </w:lvl>
    <w:lvl w:ilvl="7">
      <w:start w:val="1"/>
      <w:numFmt w:val="none"/>
      <w:pStyle w:val="Titolo8"/>
      <w:suff w:val="nothing"/>
      <w:lvlText w:val=""/>
      <w:lvlJc w:val="left"/>
      <w:pPr>
        <w:tabs>
          <w:tab w:val="num" w:pos="1440"/>
        </w:tabs>
        <w:ind w:left="1440" w:hanging="1440"/>
      </w:pPr>
      <w:rPr>
        <w:rFonts w:cs="Times New Roman"/>
      </w:rPr>
    </w:lvl>
    <w:lvl w:ilvl="8">
      <w:start w:val="1"/>
      <w:numFmt w:val="none"/>
      <w:pStyle w:val="Titolo9"/>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253CCD34"/>
    <w:name w:val="WW8Num3"/>
    <w:lvl w:ilvl="0">
      <w:start w:val="1"/>
      <w:numFmt w:val="bullet"/>
      <w:lvlText w:val=""/>
      <w:lvlJc w:val="left"/>
      <w:pPr>
        <w:tabs>
          <w:tab w:val="num" w:pos="360"/>
        </w:tabs>
        <w:ind w:left="360" w:hanging="360"/>
      </w:pPr>
      <w:rPr>
        <w:rFonts w:ascii="Wingdings" w:hAnsi="Wingdings" w:hint="default"/>
        <w:color w:val="17365D" w:themeColor="text2" w:themeShade="BF"/>
        <w:sz w:val="24"/>
      </w:rPr>
    </w:lvl>
  </w:abstractNum>
  <w:abstractNum w:abstractNumId="2" w15:restartNumberingAfterBreak="0">
    <w:nsid w:val="00000003"/>
    <w:multiLevelType w:val="singleLevel"/>
    <w:tmpl w:val="93B2A94A"/>
    <w:name w:val="WW8Num5"/>
    <w:lvl w:ilvl="0">
      <w:start w:val="1"/>
      <w:numFmt w:val="bullet"/>
      <w:lvlText w:val=""/>
      <w:lvlJc w:val="left"/>
      <w:pPr>
        <w:tabs>
          <w:tab w:val="num" w:pos="360"/>
        </w:tabs>
        <w:ind w:left="360" w:hanging="360"/>
      </w:pPr>
      <w:rPr>
        <w:rFonts w:ascii="Wingdings" w:hAnsi="Wingdings" w:hint="default"/>
        <w:color w:val="17365D" w:themeColor="text2" w:themeShade="BF"/>
        <w:sz w:val="24"/>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0C90253B"/>
    <w:multiLevelType w:val="multilevel"/>
    <w:tmpl w:val="0E96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E047B"/>
    <w:multiLevelType w:val="multilevel"/>
    <w:tmpl w:val="443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04AC5"/>
    <w:multiLevelType w:val="multilevel"/>
    <w:tmpl w:val="5A9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C01B1"/>
    <w:multiLevelType w:val="multilevel"/>
    <w:tmpl w:val="3BA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97D24"/>
    <w:multiLevelType w:val="multilevel"/>
    <w:tmpl w:val="42E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E2422"/>
    <w:multiLevelType w:val="multilevel"/>
    <w:tmpl w:val="EE6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F0D9B"/>
    <w:multiLevelType w:val="multilevel"/>
    <w:tmpl w:val="412A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F27DB"/>
    <w:multiLevelType w:val="multilevel"/>
    <w:tmpl w:val="7D64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72DFC"/>
    <w:multiLevelType w:val="hybridMultilevel"/>
    <w:tmpl w:val="310E3FA4"/>
    <w:lvl w:ilvl="0" w:tplc="86EA2366">
      <w:start w:val="8"/>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4239747">
    <w:abstractNumId w:val="0"/>
  </w:num>
  <w:num w:numId="2" w16cid:durableId="773936100">
    <w:abstractNumId w:val="1"/>
  </w:num>
  <w:num w:numId="3" w16cid:durableId="1163666376">
    <w:abstractNumId w:val="2"/>
  </w:num>
  <w:num w:numId="4" w16cid:durableId="1466393641">
    <w:abstractNumId w:val="3"/>
  </w:num>
  <w:num w:numId="5" w16cid:durableId="1817456574">
    <w:abstractNumId w:val="12"/>
  </w:num>
  <w:num w:numId="6" w16cid:durableId="1825316468">
    <w:abstractNumId w:val="8"/>
  </w:num>
  <w:num w:numId="7" w16cid:durableId="226112693">
    <w:abstractNumId w:val="11"/>
  </w:num>
  <w:num w:numId="8" w16cid:durableId="1684235608">
    <w:abstractNumId w:val="6"/>
  </w:num>
  <w:num w:numId="9" w16cid:durableId="1525098119">
    <w:abstractNumId w:val="7"/>
  </w:num>
  <w:num w:numId="10" w16cid:durableId="470757845">
    <w:abstractNumId w:val="10"/>
  </w:num>
  <w:num w:numId="11" w16cid:durableId="1866558471">
    <w:abstractNumId w:val="9"/>
  </w:num>
  <w:num w:numId="12" w16cid:durableId="858280011">
    <w:abstractNumId w:val="5"/>
  </w:num>
  <w:num w:numId="13" w16cid:durableId="972322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51"/>
    <w:rsid w:val="00007C7A"/>
    <w:rsid w:val="000153D7"/>
    <w:rsid w:val="0003434A"/>
    <w:rsid w:val="00053BFB"/>
    <w:rsid w:val="00067330"/>
    <w:rsid w:val="00082B22"/>
    <w:rsid w:val="00086AE8"/>
    <w:rsid w:val="0009309A"/>
    <w:rsid w:val="000B5460"/>
    <w:rsid w:val="000B79DB"/>
    <w:rsid w:val="000C0150"/>
    <w:rsid w:val="000D0630"/>
    <w:rsid w:val="000F2450"/>
    <w:rsid w:val="000F2AEB"/>
    <w:rsid w:val="001320A6"/>
    <w:rsid w:val="00143D59"/>
    <w:rsid w:val="00165989"/>
    <w:rsid w:val="001854FE"/>
    <w:rsid w:val="001A0DF7"/>
    <w:rsid w:val="001A5AF9"/>
    <w:rsid w:val="001D06F7"/>
    <w:rsid w:val="002035AC"/>
    <w:rsid w:val="00211022"/>
    <w:rsid w:val="002A611D"/>
    <w:rsid w:val="002D1415"/>
    <w:rsid w:val="002D7CC3"/>
    <w:rsid w:val="002E6451"/>
    <w:rsid w:val="002F2816"/>
    <w:rsid w:val="00307B17"/>
    <w:rsid w:val="00325A16"/>
    <w:rsid w:val="003619CF"/>
    <w:rsid w:val="00363664"/>
    <w:rsid w:val="003A1E45"/>
    <w:rsid w:val="003A581C"/>
    <w:rsid w:val="003B505D"/>
    <w:rsid w:val="003C7151"/>
    <w:rsid w:val="0042523E"/>
    <w:rsid w:val="00433C8D"/>
    <w:rsid w:val="00440BDA"/>
    <w:rsid w:val="00461F94"/>
    <w:rsid w:val="0047291A"/>
    <w:rsid w:val="00491F45"/>
    <w:rsid w:val="004B64FD"/>
    <w:rsid w:val="004B76A0"/>
    <w:rsid w:val="004C4F2B"/>
    <w:rsid w:val="004D5C97"/>
    <w:rsid w:val="005052B8"/>
    <w:rsid w:val="005263C4"/>
    <w:rsid w:val="005342CB"/>
    <w:rsid w:val="00545E4D"/>
    <w:rsid w:val="005606D1"/>
    <w:rsid w:val="005A2FD9"/>
    <w:rsid w:val="005A5514"/>
    <w:rsid w:val="005B0BB0"/>
    <w:rsid w:val="005B0D37"/>
    <w:rsid w:val="005B448E"/>
    <w:rsid w:val="005F1515"/>
    <w:rsid w:val="00627283"/>
    <w:rsid w:val="00632D1D"/>
    <w:rsid w:val="00654E73"/>
    <w:rsid w:val="00677449"/>
    <w:rsid w:val="006956D3"/>
    <w:rsid w:val="00696F16"/>
    <w:rsid w:val="00697573"/>
    <w:rsid w:val="006A5E4C"/>
    <w:rsid w:val="006B7088"/>
    <w:rsid w:val="006D507E"/>
    <w:rsid w:val="006E0288"/>
    <w:rsid w:val="006E11F7"/>
    <w:rsid w:val="006E29CE"/>
    <w:rsid w:val="006F2715"/>
    <w:rsid w:val="00701C5B"/>
    <w:rsid w:val="00711539"/>
    <w:rsid w:val="00723A8D"/>
    <w:rsid w:val="007318B2"/>
    <w:rsid w:val="00740F85"/>
    <w:rsid w:val="00785A92"/>
    <w:rsid w:val="007926C2"/>
    <w:rsid w:val="007A078F"/>
    <w:rsid w:val="007A78B2"/>
    <w:rsid w:val="007B62FE"/>
    <w:rsid w:val="007C108F"/>
    <w:rsid w:val="007C489F"/>
    <w:rsid w:val="007D21D1"/>
    <w:rsid w:val="007F6B7F"/>
    <w:rsid w:val="00814863"/>
    <w:rsid w:val="0083114E"/>
    <w:rsid w:val="008812EC"/>
    <w:rsid w:val="00887775"/>
    <w:rsid w:val="008A4EC7"/>
    <w:rsid w:val="008B6597"/>
    <w:rsid w:val="008C322A"/>
    <w:rsid w:val="008D4B18"/>
    <w:rsid w:val="008F6854"/>
    <w:rsid w:val="00904979"/>
    <w:rsid w:val="00933952"/>
    <w:rsid w:val="009511E2"/>
    <w:rsid w:val="009636EA"/>
    <w:rsid w:val="00983A98"/>
    <w:rsid w:val="009A49F1"/>
    <w:rsid w:val="009A7CF5"/>
    <w:rsid w:val="009E1296"/>
    <w:rsid w:val="00A03FDF"/>
    <w:rsid w:val="00A15527"/>
    <w:rsid w:val="00A172DD"/>
    <w:rsid w:val="00A237B0"/>
    <w:rsid w:val="00A4397C"/>
    <w:rsid w:val="00A66397"/>
    <w:rsid w:val="00A94B25"/>
    <w:rsid w:val="00A96344"/>
    <w:rsid w:val="00AA1FB3"/>
    <w:rsid w:val="00B01FE2"/>
    <w:rsid w:val="00B04488"/>
    <w:rsid w:val="00B1553B"/>
    <w:rsid w:val="00B45ACD"/>
    <w:rsid w:val="00B64B8C"/>
    <w:rsid w:val="00B74E20"/>
    <w:rsid w:val="00B76966"/>
    <w:rsid w:val="00B84357"/>
    <w:rsid w:val="00B95CB6"/>
    <w:rsid w:val="00BC3F0A"/>
    <w:rsid w:val="00BD3BDC"/>
    <w:rsid w:val="00BE5CCD"/>
    <w:rsid w:val="00BE5ED4"/>
    <w:rsid w:val="00C33319"/>
    <w:rsid w:val="00C42A65"/>
    <w:rsid w:val="00C43E96"/>
    <w:rsid w:val="00C507E1"/>
    <w:rsid w:val="00C560F0"/>
    <w:rsid w:val="00C57A8A"/>
    <w:rsid w:val="00C612C4"/>
    <w:rsid w:val="00C7206B"/>
    <w:rsid w:val="00C736BB"/>
    <w:rsid w:val="00C8020F"/>
    <w:rsid w:val="00C90AD5"/>
    <w:rsid w:val="00C91415"/>
    <w:rsid w:val="00C96CBC"/>
    <w:rsid w:val="00CB0F24"/>
    <w:rsid w:val="00CB41B2"/>
    <w:rsid w:val="00CC2A42"/>
    <w:rsid w:val="00CC798B"/>
    <w:rsid w:val="00CD17EC"/>
    <w:rsid w:val="00CD6EC9"/>
    <w:rsid w:val="00CE17D9"/>
    <w:rsid w:val="00D10C1D"/>
    <w:rsid w:val="00D30402"/>
    <w:rsid w:val="00D45E99"/>
    <w:rsid w:val="00D50407"/>
    <w:rsid w:val="00D7151D"/>
    <w:rsid w:val="00D82F73"/>
    <w:rsid w:val="00DB18FF"/>
    <w:rsid w:val="00DD689D"/>
    <w:rsid w:val="00DF5948"/>
    <w:rsid w:val="00E12A54"/>
    <w:rsid w:val="00E15A8B"/>
    <w:rsid w:val="00E52F4F"/>
    <w:rsid w:val="00E54A14"/>
    <w:rsid w:val="00E63450"/>
    <w:rsid w:val="00E6629B"/>
    <w:rsid w:val="00E707DB"/>
    <w:rsid w:val="00E860E4"/>
    <w:rsid w:val="00EB634C"/>
    <w:rsid w:val="00EC58E4"/>
    <w:rsid w:val="00ED466B"/>
    <w:rsid w:val="00F004EF"/>
    <w:rsid w:val="00F005BE"/>
    <w:rsid w:val="00F30525"/>
    <w:rsid w:val="00F41C90"/>
    <w:rsid w:val="00F431B9"/>
    <w:rsid w:val="00F472FD"/>
    <w:rsid w:val="00F57381"/>
    <w:rsid w:val="00F7164A"/>
    <w:rsid w:val="00F907EB"/>
    <w:rsid w:val="00F94D1D"/>
    <w:rsid w:val="00F955C4"/>
    <w:rsid w:val="00FB0C59"/>
    <w:rsid w:val="00FD03C2"/>
    <w:rsid w:val="00FE048A"/>
    <w:rsid w:val="00FE4478"/>
    <w:rsid w:val="00FE6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C86A3"/>
  <w14:defaultImageDpi w14:val="0"/>
  <w15:docId w15:val="{42E48757-1656-4437-8AE2-54D68C76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link w:val="Titolo1Carattere"/>
    <w:uiPriority w:val="9"/>
    <w:qFormat/>
    <w:pPr>
      <w:keepNext/>
      <w:numPr>
        <w:numId w:val="1"/>
      </w:numPr>
      <w:ind w:right="-27"/>
      <w:jc w:val="center"/>
      <w:outlineLvl w:val="0"/>
    </w:pPr>
    <w:rPr>
      <w:b/>
      <w:smallCaps/>
      <w:sz w:val="24"/>
    </w:rPr>
  </w:style>
  <w:style w:type="paragraph" w:styleId="Titolo2">
    <w:name w:val="heading 2"/>
    <w:basedOn w:val="Normale"/>
    <w:next w:val="Normale"/>
    <w:link w:val="Titolo2Carattere"/>
    <w:uiPriority w:val="9"/>
    <w:qFormat/>
    <w:pPr>
      <w:keepNext/>
      <w:numPr>
        <w:ilvl w:val="1"/>
        <w:numId w:val="1"/>
      </w:numPr>
      <w:outlineLvl w:val="1"/>
    </w:pPr>
    <w:rPr>
      <w:b/>
      <w:i/>
      <w:sz w:val="24"/>
    </w:rPr>
  </w:style>
  <w:style w:type="paragraph" w:styleId="Titolo3">
    <w:name w:val="heading 3"/>
    <w:basedOn w:val="Normale"/>
    <w:next w:val="Normale"/>
    <w:link w:val="Titolo3Carattere"/>
    <w:uiPriority w:val="9"/>
    <w:qFormat/>
    <w:pPr>
      <w:keepNext/>
      <w:numPr>
        <w:ilvl w:val="2"/>
        <w:numId w:val="1"/>
      </w:numPr>
      <w:pBdr>
        <w:top w:val="single" w:sz="4" w:space="0" w:color="000000" w:shadow="1"/>
        <w:left w:val="single" w:sz="4" w:space="0" w:color="000000" w:shadow="1"/>
        <w:bottom w:val="single" w:sz="4" w:space="0" w:color="000000" w:shadow="1"/>
        <w:right w:val="single" w:sz="4" w:space="0" w:color="000000" w:shadow="1"/>
      </w:pBdr>
      <w:shd w:val="clear" w:color="auto" w:fill="BFBFBF"/>
      <w:jc w:val="center"/>
      <w:outlineLvl w:val="2"/>
    </w:pPr>
    <w:rPr>
      <w:b/>
      <w:smallCaps/>
      <w:sz w:val="24"/>
    </w:rPr>
  </w:style>
  <w:style w:type="paragraph" w:styleId="Titolo4">
    <w:name w:val="heading 4"/>
    <w:basedOn w:val="Normale"/>
    <w:next w:val="Normale"/>
    <w:link w:val="Titolo4Carattere"/>
    <w:uiPriority w:val="9"/>
    <w:qFormat/>
    <w:pPr>
      <w:keepNext/>
      <w:numPr>
        <w:ilvl w:val="3"/>
        <w:numId w:val="1"/>
      </w:numPr>
      <w:spacing w:line="360" w:lineRule="auto"/>
      <w:jc w:val="both"/>
      <w:outlineLvl w:val="3"/>
    </w:pPr>
    <w:rPr>
      <w:b/>
      <w:sz w:val="24"/>
    </w:rPr>
  </w:style>
  <w:style w:type="paragraph" w:styleId="Titolo5">
    <w:name w:val="heading 5"/>
    <w:basedOn w:val="Normale"/>
    <w:next w:val="Normale"/>
    <w:link w:val="Titolo5Carattere"/>
    <w:uiPriority w:val="9"/>
    <w:qFormat/>
    <w:pPr>
      <w:keepNext/>
      <w:numPr>
        <w:ilvl w:val="4"/>
        <w:numId w:val="1"/>
      </w:numPr>
      <w:ind w:right="-27"/>
      <w:jc w:val="center"/>
      <w:outlineLvl w:val="4"/>
    </w:pPr>
    <w:rPr>
      <w:rFonts w:ascii="Georgia" w:hAnsi="Georgia" w:cs="Georgia"/>
      <w:b/>
      <w:smallCaps/>
      <w:sz w:val="36"/>
    </w:rPr>
  </w:style>
  <w:style w:type="paragraph" w:styleId="Titolo6">
    <w:name w:val="heading 6"/>
    <w:basedOn w:val="Normale"/>
    <w:next w:val="Normale"/>
    <w:link w:val="Titolo6Carattere"/>
    <w:uiPriority w:val="9"/>
    <w:qFormat/>
    <w:pPr>
      <w:keepNext/>
      <w:numPr>
        <w:ilvl w:val="5"/>
        <w:numId w:val="1"/>
      </w:numPr>
      <w:outlineLvl w:val="5"/>
    </w:pPr>
    <w:rPr>
      <w:b/>
      <w:sz w:val="24"/>
    </w:rPr>
  </w:style>
  <w:style w:type="paragraph" w:styleId="Titolo7">
    <w:name w:val="heading 7"/>
    <w:basedOn w:val="Normale"/>
    <w:next w:val="Normale"/>
    <w:link w:val="Titolo7Carattere"/>
    <w:uiPriority w:val="9"/>
    <w:qFormat/>
    <w:pPr>
      <w:keepNext/>
      <w:numPr>
        <w:ilvl w:val="6"/>
        <w:numId w:val="1"/>
      </w:numPr>
      <w:outlineLvl w:val="6"/>
    </w:pPr>
    <w:rPr>
      <w:rFonts w:ascii="Verdana" w:hAnsi="Verdana" w:cs="Verdana"/>
    </w:rPr>
  </w:style>
  <w:style w:type="paragraph" w:styleId="Titolo8">
    <w:name w:val="heading 8"/>
    <w:basedOn w:val="Normale"/>
    <w:next w:val="Normale"/>
    <w:link w:val="Titolo8Carattere"/>
    <w:uiPriority w:val="9"/>
    <w:qFormat/>
    <w:pPr>
      <w:keepNext/>
      <w:numPr>
        <w:ilvl w:val="7"/>
        <w:numId w:val="1"/>
      </w:numPr>
      <w:outlineLvl w:val="7"/>
    </w:pPr>
    <w:rPr>
      <w:rFonts w:ascii="Verdana" w:hAnsi="Verdana" w:cs="Verdana"/>
    </w:rPr>
  </w:style>
  <w:style w:type="paragraph" w:styleId="Titolo9">
    <w:name w:val="heading 9"/>
    <w:basedOn w:val="Normale"/>
    <w:next w:val="Normale"/>
    <w:link w:val="Titolo9Carattere"/>
    <w:uiPriority w:val="9"/>
    <w:qFormat/>
    <w:pPr>
      <w:keepNext/>
      <w:numPr>
        <w:ilvl w:val="8"/>
        <w:numId w:val="1"/>
      </w:numPr>
      <w:outlineLvl w:val="8"/>
    </w:pPr>
    <w:rPr>
      <w:rFonts w:ascii="Verdana" w:hAnsi="Verdana" w:cs="Verdan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cs="Times New Roman"/>
      <w:b/>
      <w:kern w:val="32"/>
      <w:sz w:val="32"/>
      <w:lang w:val="x-none" w:eastAsia="ar-SA" w:bidi="ar-SA"/>
    </w:rPr>
  </w:style>
  <w:style w:type="character" w:customStyle="1" w:styleId="Titolo2Carattere">
    <w:name w:val="Titolo 2 Carattere"/>
    <w:basedOn w:val="Carpredefinitoparagrafo"/>
    <w:link w:val="Titolo2"/>
    <w:uiPriority w:val="9"/>
    <w:semiHidden/>
    <w:locked/>
    <w:rPr>
      <w:rFonts w:ascii="Cambria" w:hAnsi="Cambria" w:cs="Times New Roman"/>
      <w:b/>
      <w:i/>
      <w:sz w:val="28"/>
      <w:lang w:val="x-none" w:eastAsia="ar-SA" w:bidi="ar-SA"/>
    </w:rPr>
  </w:style>
  <w:style w:type="character" w:customStyle="1" w:styleId="Titolo3Carattere">
    <w:name w:val="Titolo 3 Carattere"/>
    <w:basedOn w:val="Carpredefinitoparagrafo"/>
    <w:link w:val="Titolo3"/>
    <w:uiPriority w:val="9"/>
    <w:semiHidden/>
    <w:locked/>
    <w:rPr>
      <w:rFonts w:ascii="Cambria" w:hAnsi="Cambria" w:cs="Times New Roman"/>
      <w:b/>
      <w:sz w:val="26"/>
      <w:lang w:val="x-none" w:eastAsia="ar-SA" w:bidi="ar-SA"/>
    </w:rPr>
  </w:style>
  <w:style w:type="character" w:customStyle="1" w:styleId="Titolo4Carattere">
    <w:name w:val="Titolo 4 Carattere"/>
    <w:basedOn w:val="Carpredefinitoparagrafo"/>
    <w:link w:val="Titolo4"/>
    <w:uiPriority w:val="9"/>
    <w:semiHidden/>
    <w:locked/>
    <w:rPr>
      <w:rFonts w:ascii="Calibri" w:hAnsi="Calibri" w:cs="Times New Roman"/>
      <w:b/>
      <w:sz w:val="28"/>
      <w:lang w:val="x-none" w:eastAsia="ar-SA" w:bidi="ar-SA"/>
    </w:rPr>
  </w:style>
  <w:style w:type="character" w:customStyle="1" w:styleId="Titolo5Carattere">
    <w:name w:val="Titolo 5 Carattere"/>
    <w:basedOn w:val="Carpredefinitoparagrafo"/>
    <w:link w:val="Titolo5"/>
    <w:uiPriority w:val="9"/>
    <w:semiHidden/>
    <w:locked/>
    <w:rPr>
      <w:rFonts w:ascii="Calibri" w:hAnsi="Calibri" w:cs="Times New Roman"/>
      <w:b/>
      <w:i/>
      <w:sz w:val="26"/>
      <w:lang w:val="x-none" w:eastAsia="ar-SA" w:bidi="ar-SA"/>
    </w:rPr>
  </w:style>
  <w:style w:type="character" w:customStyle="1" w:styleId="Titolo6Carattere">
    <w:name w:val="Titolo 6 Carattere"/>
    <w:basedOn w:val="Carpredefinitoparagrafo"/>
    <w:link w:val="Titolo6"/>
    <w:uiPriority w:val="9"/>
    <w:semiHidden/>
    <w:locked/>
    <w:rPr>
      <w:rFonts w:ascii="Calibri" w:hAnsi="Calibri" w:cs="Times New Roman"/>
      <w:b/>
      <w:sz w:val="22"/>
      <w:lang w:val="x-none" w:eastAsia="ar-SA" w:bidi="ar-SA"/>
    </w:rPr>
  </w:style>
  <w:style w:type="character" w:customStyle="1" w:styleId="Titolo7Carattere">
    <w:name w:val="Titolo 7 Carattere"/>
    <w:basedOn w:val="Carpredefinitoparagrafo"/>
    <w:link w:val="Titolo7"/>
    <w:uiPriority w:val="9"/>
    <w:semiHidden/>
    <w:locked/>
    <w:rPr>
      <w:rFonts w:ascii="Calibri" w:hAnsi="Calibri" w:cs="Times New Roman"/>
      <w:sz w:val="24"/>
      <w:lang w:val="x-none" w:eastAsia="ar-SA" w:bidi="ar-SA"/>
    </w:rPr>
  </w:style>
  <w:style w:type="character" w:customStyle="1" w:styleId="Titolo8Carattere">
    <w:name w:val="Titolo 8 Carattere"/>
    <w:basedOn w:val="Carpredefinitoparagrafo"/>
    <w:link w:val="Titolo8"/>
    <w:uiPriority w:val="9"/>
    <w:semiHidden/>
    <w:locked/>
    <w:rPr>
      <w:rFonts w:ascii="Calibri" w:hAnsi="Calibri" w:cs="Times New Roman"/>
      <w:i/>
      <w:sz w:val="24"/>
      <w:lang w:val="x-none" w:eastAsia="ar-SA" w:bidi="ar-SA"/>
    </w:rPr>
  </w:style>
  <w:style w:type="character" w:customStyle="1" w:styleId="Titolo9Carattere">
    <w:name w:val="Titolo 9 Carattere"/>
    <w:basedOn w:val="Carpredefinitoparagrafo"/>
    <w:link w:val="Titolo9"/>
    <w:uiPriority w:val="9"/>
    <w:semiHidden/>
    <w:locked/>
    <w:rPr>
      <w:rFonts w:ascii="Cambria" w:hAnsi="Cambria" w:cs="Times New Roman"/>
      <w:sz w:val="22"/>
      <w:lang w:val="x-none" w:eastAsia="ar-SA" w:bidi="ar-SA"/>
    </w:rPr>
  </w:style>
  <w:style w:type="character" w:customStyle="1" w:styleId="WW8Num1z0">
    <w:name w:val="WW8Num1z0"/>
  </w:style>
  <w:style w:type="character" w:customStyle="1" w:styleId="WW8Num2z0">
    <w:name w:val="WW8Num2z0"/>
    <w:rPr>
      <w:rFonts w:ascii="Wingdings" w:hAnsi="Wingdings"/>
    </w:rPr>
  </w:style>
  <w:style w:type="character" w:customStyle="1" w:styleId="WW8Num3z0">
    <w:name w:val="WW8Num3z0"/>
    <w:rPr>
      <w:rFonts w:ascii="Wingdings" w:hAnsi="Wingdings"/>
      <w:sz w:val="24"/>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Wingdings" w:hAnsi="Wingdings"/>
      <w:sz w:val="24"/>
    </w:rPr>
  </w:style>
  <w:style w:type="character" w:customStyle="1" w:styleId="WW8Num6z0">
    <w:name w:val="WW8Num6z0"/>
  </w:style>
  <w:style w:type="character" w:customStyle="1" w:styleId="WW8Num7z0">
    <w:name w:val="WW8Num7z0"/>
    <w:rPr>
      <w:rFonts w:ascii="Wingdings" w:hAnsi="Wingdings"/>
    </w:rPr>
  </w:style>
  <w:style w:type="character" w:customStyle="1" w:styleId="WW8Num8z0">
    <w:name w:val="WW8Num8z0"/>
    <w:rPr>
      <w:rFonts w:ascii="Wingdings" w:hAnsi="Wingdings"/>
      <w:sz w:val="24"/>
    </w:rPr>
  </w:style>
  <w:style w:type="character" w:customStyle="1" w:styleId="WW8Num9z0">
    <w:name w:val="WW8Num9z0"/>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0">
    <w:name w:val="WW8Num12z0"/>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Carpredefinitoparagrafo1">
    <w:name w:val="Car. predefinito paragrafo1"/>
  </w:style>
  <w:style w:type="character" w:styleId="Collegamentoipertestuale">
    <w:name w:val="Hyperlink"/>
    <w:basedOn w:val="Carpredefinitoparagrafo"/>
    <w:uiPriority w:val="99"/>
    <w:rPr>
      <w:rFonts w:cs="Times New Roman"/>
      <w:color w:val="0000FF"/>
      <w:u w:val="single"/>
    </w:rPr>
  </w:style>
  <w:style w:type="character" w:styleId="Enfasigrassetto">
    <w:name w:val="Strong"/>
    <w:basedOn w:val="Carpredefinitoparagrafo"/>
    <w:uiPriority w:val="22"/>
    <w:qFormat/>
    <w:rPr>
      <w:rFonts w:cs="Times New Roman"/>
      <w:b/>
    </w:rPr>
  </w:style>
  <w:style w:type="character" w:styleId="Numeropagina">
    <w:name w:val="page number"/>
    <w:basedOn w:val="Carpredefinitoparagrafo"/>
    <w:uiPriority w:val="99"/>
    <w:rPr>
      <w:rFonts w:cs="Times New Roman"/>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styleId="Corpotesto">
    <w:name w:val="Body Text"/>
    <w:basedOn w:val="Normale"/>
    <w:link w:val="CorpotestoCarattere"/>
    <w:uiPriority w:val="99"/>
    <w:pPr>
      <w:jc w:val="center"/>
    </w:pPr>
    <w:rPr>
      <w:sz w:val="24"/>
    </w:rPr>
  </w:style>
  <w:style w:type="character" w:customStyle="1" w:styleId="CorpotestoCarattere">
    <w:name w:val="Corpo testo Carattere"/>
    <w:basedOn w:val="Carpredefinitoparagrafo"/>
    <w:link w:val="Corpotesto"/>
    <w:uiPriority w:val="99"/>
    <w:semiHidden/>
    <w:locked/>
    <w:rPr>
      <w:rFonts w:cs="Times New Roman"/>
      <w:lang w:val="x-none" w:eastAsia="ar-SA" w:bidi="ar-SA"/>
    </w:rPr>
  </w:style>
  <w:style w:type="paragraph" w:styleId="Elenco">
    <w:name w:val="List"/>
    <w:basedOn w:val="Corpotesto"/>
    <w:uiPriority w:val="99"/>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jc w:val="both"/>
    </w:pPr>
    <w:rPr>
      <w:sz w:val="24"/>
    </w:rPr>
  </w:style>
  <w:style w:type="paragraph" w:styleId="Rientrocorpodeltesto">
    <w:name w:val="Body Text Indent"/>
    <w:basedOn w:val="Normale"/>
    <w:link w:val="RientrocorpodeltestoCarattere"/>
    <w:uiPriority w:val="99"/>
    <w:pPr>
      <w:spacing w:line="360" w:lineRule="auto"/>
      <w:ind w:firstLine="708"/>
    </w:pPr>
    <w:rPr>
      <w:sz w:val="24"/>
    </w:rPr>
  </w:style>
  <w:style w:type="character" w:customStyle="1" w:styleId="RientrocorpodeltestoCarattere">
    <w:name w:val="Rientro corpo del testo Carattere"/>
    <w:basedOn w:val="Carpredefinitoparagrafo"/>
    <w:link w:val="Rientrocorpodeltesto"/>
    <w:uiPriority w:val="99"/>
    <w:semiHidden/>
    <w:locked/>
    <w:rPr>
      <w:rFonts w:cs="Times New Roman"/>
      <w:lang w:val="x-none" w:eastAsia="ar-SA" w:bidi="ar-SA"/>
    </w:rPr>
  </w:style>
  <w:style w:type="paragraph" w:customStyle="1" w:styleId="Corpodeltesto31">
    <w:name w:val="Corpo del testo 31"/>
    <w:basedOn w:val="Normale"/>
    <w:rPr>
      <w:sz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lang w:val="x-none" w:eastAsia="ar-SA" w:bidi="ar-SA"/>
    </w:rPr>
  </w:style>
  <w:style w:type="paragraph" w:customStyle="1" w:styleId="Rientrocorpodeltesto21">
    <w:name w:val="Rientro corpo del testo 21"/>
    <w:basedOn w:val="Normale"/>
    <w:pPr>
      <w:keepNext/>
      <w:spacing w:line="360" w:lineRule="auto"/>
      <w:ind w:right="-27" w:firstLine="708"/>
      <w:jc w:val="both"/>
    </w:pPr>
    <w:rPr>
      <w:sz w:val="24"/>
      <w:szCs w:val="22"/>
    </w:rPr>
  </w:style>
  <w:style w:type="paragraph" w:customStyle="1" w:styleId="Mappadocumento1">
    <w:name w:val="Mappa documento1"/>
    <w:basedOn w:val="Normale"/>
    <w:pPr>
      <w:shd w:val="clear" w:color="auto" w:fill="000080"/>
    </w:pPr>
    <w:rPr>
      <w:rFonts w:ascii="Tahoma" w:hAnsi="Tahoma" w:cs="Tahoma"/>
    </w:rPr>
  </w:style>
  <w:style w:type="paragraph" w:customStyle="1" w:styleId="Contenutocornice">
    <w:name w:val="Contenuto cornice"/>
    <w:basedOn w:val="Corpotesto"/>
  </w:style>
  <w:style w:type="paragraph" w:styleId="Intestazione">
    <w:name w:val="header"/>
    <w:basedOn w:val="Normale"/>
    <w:link w:val="IntestazioneCarattere"/>
    <w:uiPriority w:val="99"/>
    <w:pPr>
      <w:suppressLineNumbers/>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lang w:val="x-none" w:eastAsia="ar-SA" w:bidi="ar-SA"/>
    </w:rPr>
  </w:style>
  <w:style w:type="paragraph" w:styleId="Paragrafoelenco">
    <w:name w:val="List Paragraph"/>
    <w:basedOn w:val="Normale"/>
    <w:uiPriority w:val="34"/>
    <w:qFormat/>
    <w:rsid w:val="005A5514"/>
    <w:pPr>
      <w:ind w:left="708"/>
    </w:pPr>
  </w:style>
  <w:style w:type="table" w:styleId="Grigliatabella">
    <w:name w:val="Table Grid"/>
    <w:basedOn w:val="Tabellanormale"/>
    <w:uiPriority w:val="59"/>
    <w:rsid w:val="009E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ncochiaro-Colore5">
    <w:name w:val="Light List Accent 5"/>
    <w:basedOn w:val="Tabellanormale"/>
    <w:uiPriority w:val="61"/>
    <w:rsid w:val="009E129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Nessunaspaziatura">
    <w:name w:val="No Spacing"/>
    <w:link w:val="NessunaspaziaturaCarattere"/>
    <w:uiPriority w:val="1"/>
    <w:qFormat/>
    <w:rsid w:val="004B64FD"/>
    <w:rPr>
      <w:rFonts w:ascii="Calibri" w:hAnsi="Calibri"/>
      <w:sz w:val="22"/>
      <w:szCs w:val="22"/>
      <w:lang w:eastAsia="en-US"/>
    </w:rPr>
  </w:style>
  <w:style w:type="character" w:customStyle="1" w:styleId="NessunaspaziaturaCarattere">
    <w:name w:val="Nessuna spaziatura Carattere"/>
    <w:link w:val="Nessunaspaziatura"/>
    <w:uiPriority w:val="1"/>
    <w:locked/>
    <w:rsid w:val="004B64FD"/>
    <w:rPr>
      <w:rFonts w:ascii="Calibri" w:hAnsi="Calibri"/>
      <w:sz w:val="22"/>
      <w:lang w:val="x-none" w:eastAsia="en-US"/>
    </w:rPr>
  </w:style>
  <w:style w:type="paragraph" w:styleId="Testofumetto">
    <w:name w:val="Balloon Text"/>
    <w:basedOn w:val="Normale"/>
    <w:link w:val="TestofumettoCarattere"/>
    <w:uiPriority w:val="99"/>
    <w:semiHidden/>
    <w:unhideWhenUsed/>
    <w:rsid w:val="004D5C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D5C97"/>
    <w:rPr>
      <w:rFonts w:ascii="Tahoma" w:hAnsi="Tahoma" w:cs="Tahoma"/>
      <w:sz w:val="16"/>
      <w:szCs w:val="16"/>
      <w:lang w:val="x-none" w:eastAsia="ar-SA" w:bidi="ar-SA"/>
    </w:rPr>
  </w:style>
  <w:style w:type="paragraph" w:customStyle="1" w:styleId="Default">
    <w:name w:val="Default"/>
    <w:rsid w:val="005342CB"/>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77602">
      <w:bodyDiv w:val="1"/>
      <w:marLeft w:val="0"/>
      <w:marRight w:val="0"/>
      <w:marTop w:val="0"/>
      <w:marBottom w:val="0"/>
      <w:divBdr>
        <w:top w:val="none" w:sz="0" w:space="0" w:color="auto"/>
        <w:left w:val="none" w:sz="0" w:space="0" w:color="auto"/>
        <w:bottom w:val="none" w:sz="0" w:space="0" w:color="auto"/>
        <w:right w:val="none" w:sz="0" w:space="0" w:color="auto"/>
      </w:divBdr>
    </w:div>
    <w:div w:id="1086195877">
      <w:bodyDiv w:val="1"/>
      <w:marLeft w:val="0"/>
      <w:marRight w:val="0"/>
      <w:marTop w:val="0"/>
      <w:marBottom w:val="0"/>
      <w:divBdr>
        <w:top w:val="none" w:sz="0" w:space="0" w:color="auto"/>
        <w:left w:val="none" w:sz="0" w:space="0" w:color="auto"/>
        <w:bottom w:val="none" w:sz="0" w:space="0" w:color="auto"/>
        <w:right w:val="none" w:sz="0" w:space="0" w:color="auto"/>
      </w:divBdr>
    </w:div>
    <w:div w:id="1379668487">
      <w:marLeft w:val="0"/>
      <w:marRight w:val="0"/>
      <w:marTop w:val="0"/>
      <w:marBottom w:val="0"/>
      <w:divBdr>
        <w:top w:val="none" w:sz="0" w:space="0" w:color="auto"/>
        <w:left w:val="none" w:sz="0" w:space="0" w:color="auto"/>
        <w:bottom w:val="none" w:sz="0" w:space="0" w:color="auto"/>
        <w:right w:val="none" w:sz="0" w:space="0" w:color="auto"/>
      </w:divBdr>
    </w:div>
    <w:div w:id="1379668488">
      <w:marLeft w:val="0"/>
      <w:marRight w:val="0"/>
      <w:marTop w:val="0"/>
      <w:marBottom w:val="0"/>
      <w:divBdr>
        <w:top w:val="none" w:sz="0" w:space="0" w:color="auto"/>
        <w:left w:val="none" w:sz="0" w:space="0" w:color="auto"/>
        <w:bottom w:val="none" w:sz="0" w:space="0" w:color="auto"/>
        <w:right w:val="none" w:sz="0" w:space="0" w:color="auto"/>
      </w:divBdr>
    </w:div>
    <w:div w:id="1379668489">
      <w:marLeft w:val="0"/>
      <w:marRight w:val="0"/>
      <w:marTop w:val="0"/>
      <w:marBottom w:val="0"/>
      <w:divBdr>
        <w:top w:val="none" w:sz="0" w:space="0" w:color="auto"/>
        <w:left w:val="none" w:sz="0" w:space="0" w:color="auto"/>
        <w:bottom w:val="none" w:sz="0" w:space="0" w:color="auto"/>
        <w:right w:val="none" w:sz="0" w:space="0" w:color="auto"/>
      </w:divBdr>
    </w:div>
    <w:div w:id="1379668490">
      <w:marLeft w:val="0"/>
      <w:marRight w:val="0"/>
      <w:marTop w:val="0"/>
      <w:marBottom w:val="0"/>
      <w:divBdr>
        <w:top w:val="none" w:sz="0" w:space="0" w:color="auto"/>
        <w:left w:val="none" w:sz="0" w:space="0" w:color="auto"/>
        <w:bottom w:val="none" w:sz="0" w:space="0" w:color="auto"/>
        <w:right w:val="none" w:sz="0" w:space="0" w:color="auto"/>
      </w:divBdr>
    </w:div>
    <w:div w:id="1719937640">
      <w:bodyDiv w:val="1"/>
      <w:marLeft w:val="0"/>
      <w:marRight w:val="0"/>
      <w:marTop w:val="0"/>
      <w:marBottom w:val="0"/>
      <w:divBdr>
        <w:top w:val="none" w:sz="0" w:space="0" w:color="auto"/>
        <w:left w:val="none" w:sz="0" w:space="0" w:color="auto"/>
        <w:bottom w:val="none" w:sz="0" w:space="0" w:color="auto"/>
        <w:right w:val="none" w:sz="0" w:space="0" w:color="auto"/>
      </w:divBdr>
    </w:div>
    <w:div w:id="20879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6326-BD1F-4F41-B1AA-4CFEC194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CDE di…………</vt:lpstr>
    </vt:vector>
  </TitlesOfParts>
  <Company>Olidata S.p.A.</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 di…………</dc:title>
  <dc:subject/>
  <dc:creator>Università Luigi Bocconi</dc:creator>
  <cp:keywords/>
  <dc:description/>
  <cp:lastModifiedBy>Sara Scarabattieri</cp:lastModifiedBy>
  <cp:revision>2</cp:revision>
  <cp:lastPrinted>2019-01-11T11:42:00Z</cp:lastPrinted>
  <dcterms:created xsi:type="dcterms:W3CDTF">2025-12-11T08:04:00Z</dcterms:created>
  <dcterms:modified xsi:type="dcterms:W3CDTF">2025-12-11T08:04:00Z</dcterms:modified>
</cp:coreProperties>
</file>